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Ind w:w="-106" w:type="dxa"/>
        <w:tblLayout w:type="fixed"/>
        <w:tblLook w:val="01E0" w:firstRow="1" w:lastRow="1" w:firstColumn="1" w:lastColumn="1" w:noHBand="0" w:noVBand="0"/>
      </w:tblPr>
      <w:tblGrid>
        <w:gridCol w:w="9288"/>
      </w:tblGrid>
      <w:tr w:rsidR="00807413" w:rsidRPr="00A36BED">
        <w:trPr>
          <w:cantSplit/>
        </w:trPr>
        <w:tc>
          <w:tcPr>
            <w:tcW w:w="9288" w:type="dxa"/>
          </w:tcPr>
          <w:p w:rsidR="00CF07B7" w:rsidRPr="00A36BED" w:rsidRDefault="00CF07B7" w:rsidP="0059197F">
            <w:pPr>
              <w:pStyle w:val="Heading3"/>
              <w:jc w:val="center"/>
              <w:rPr>
                <w:rFonts w:ascii="Tahoma" w:hAnsi="Tahoma" w:cs="Tahoma"/>
                <w:sz w:val="19"/>
                <w:szCs w:val="19"/>
                <w:lang w:val="en-GB"/>
              </w:rPr>
            </w:pPr>
            <w:bookmarkStart w:id="0" w:name="_GoBack"/>
            <w:bookmarkEnd w:id="0"/>
          </w:p>
          <w:p w:rsidR="00807413" w:rsidRPr="00A36BED" w:rsidRDefault="00807413" w:rsidP="0059197F">
            <w:pPr>
              <w:pStyle w:val="Heading3"/>
              <w:jc w:val="center"/>
              <w:rPr>
                <w:rFonts w:ascii="Tahoma" w:hAnsi="Tahoma" w:cs="Tahoma"/>
                <w:sz w:val="19"/>
                <w:szCs w:val="19"/>
              </w:rPr>
            </w:pPr>
            <w:r w:rsidRPr="00A36BED">
              <w:rPr>
                <w:rFonts w:ascii="Tahoma" w:hAnsi="Tahoma" w:cs="Tahoma"/>
                <w:sz w:val="19"/>
                <w:szCs w:val="19"/>
              </w:rPr>
              <w:t>AFFIN HOLDINGS BERHAD</w:t>
            </w:r>
          </w:p>
          <w:p w:rsidR="000F5472" w:rsidRPr="00A36BED" w:rsidRDefault="00807413" w:rsidP="00CF07B7">
            <w:pPr>
              <w:ind w:firstLine="106"/>
              <w:jc w:val="center"/>
              <w:rPr>
                <w:rFonts w:ascii="Tahoma" w:hAnsi="Tahoma" w:cs="Tahoma"/>
                <w:b/>
                <w:bCs/>
                <w:snapToGrid w:val="0"/>
                <w:color w:val="000000"/>
                <w:sz w:val="19"/>
                <w:szCs w:val="19"/>
                <w:lang w:val="en-US" w:eastAsia="en-US"/>
              </w:rPr>
            </w:pPr>
            <w:r w:rsidRPr="00A36BED">
              <w:rPr>
                <w:rFonts w:ascii="Tahoma" w:hAnsi="Tahoma" w:cs="Tahoma"/>
                <w:b/>
                <w:bCs/>
                <w:snapToGrid w:val="0"/>
                <w:color w:val="000000"/>
                <w:sz w:val="19"/>
                <w:szCs w:val="19"/>
                <w:lang w:val="en-US" w:eastAsia="en-US"/>
              </w:rPr>
              <w:t>ANNOUNCEMENT ON ACHIEVEMENT OF</w:t>
            </w:r>
          </w:p>
          <w:p w:rsidR="000F5472" w:rsidRPr="00A36BED" w:rsidRDefault="00807413" w:rsidP="00CF07B7">
            <w:pPr>
              <w:ind w:firstLine="106"/>
              <w:jc w:val="center"/>
              <w:rPr>
                <w:rFonts w:ascii="Tahoma" w:hAnsi="Tahoma" w:cs="Tahoma"/>
                <w:b/>
                <w:bCs/>
                <w:snapToGrid w:val="0"/>
                <w:color w:val="000000"/>
                <w:sz w:val="19"/>
                <w:szCs w:val="19"/>
                <w:lang w:val="en-US" w:eastAsia="en-US"/>
              </w:rPr>
            </w:pPr>
            <w:r w:rsidRPr="00A36BED">
              <w:rPr>
                <w:rFonts w:ascii="Tahoma" w:hAnsi="Tahoma" w:cs="Tahoma"/>
                <w:b/>
                <w:bCs/>
                <w:snapToGrid w:val="0"/>
                <w:color w:val="000000"/>
                <w:sz w:val="19"/>
                <w:szCs w:val="19"/>
                <w:lang w:val="en-US" w:eastAsia="en-US"/>
              </w:rPr>
              <w:t>HEADLINE KEY PERFORMANCE INDICATORS ("KPIs")</w:t>
            </w:r>
          </w:p>
          <w:p w:rsidR="00517306" w:rsidRDefault="00807413" w:rsidP="006E67C1">
            <w:pPr>
              <w:ind w:firstLine="106"/>
              <w:jc w:val="center"/>
              <w:rPr>
                <w:rFonts w:ascii="Tahoma" w:hAnsi="Tahoma" w:cs="Tahoma"/>
                <w:b/>
                <w:bCs/>
                <w:snapToGrid w:val="0"/>
                <w:color w:val="000000"/>
                <w:sz w:val="19"/>
                <w:szCs w:val="19"/>
                <w:lang w:val="en-US" w:eastAsia="en-US"/>
              </w:rPr>
            </w:pPr>
            <w:r w:rsidRPr="00A36BED">
              <w:rPr>
                <w:rFonts w:ascii="Tahoma" w:hAnsi="Tahoma" w:cs="Tahoma"/>
                <w:b/>
                <w:bCs/>
                <w:snapToGrid w:val="0"/>
                <w:color w:val="000000"/>
                <w:sz w:val="19"/>
                <w:szCs w:val="19"/>
                <w:lang w:val="en-US" w:eastAsia="en-US"/>
              </w:rPr>
              <w:t xml:space="preserve">FOR THE </w:t>
            </w:r>
            <w:r w:rsidR="006E67C1" w:rsidRPr="00A36BED">
              <w:rPr>
                <w:rFonts w:ascii="Tahoma" w:hAnsi="Tahoma" w:cs="Tahoma"/>
                <w:b/>
                <w:bCs/>
                <w:snapToGrid w:val="0"/>
                <w:color w:val="000000"/>
                <w:sz w:val="19"/>
                <w:szCs w:val="19"/>
                <w:lang w:val="en-US" w:eastAsia="en-US"/>
              </w:rPr>
              <w:t>YEAR</w:t>
            </w:r>
            <w:r w:rsidR="0059197F" w:rsidRPr="00A36BED">
              <w:rPr>
                <w:rFonts w:ascii="Tahoma" w:hAnsi="Tahoma" w:cs="Tahoma"/>
                <w:b/>
                <w:bCs/>
                <w:snapToGrid w:val="0"/>
                <w:color w:val="000000"/>
                <w:sz w:val="19"/>
                <w:szCs w:val="19"/>
                <w:lang w:val="en-US" w:eastAsia="en-US"/>
              </w:rPr>
              <w:t xml:space="preserve"> ENDED 3</w:t>
            </w:r>
            <w:r w:rsidR="006E67C1" w:rsidRPr="00A36BED">
              <w:rPr>
                <w:rFonts w:ascii="Tahoma" w:hAnsi="Tahoma" w:cs="Tahoma"/>
                <w:b/>
                <w:bCs/>
                <w:snapToGrid w:val="0"/>
                <w:color w:val="000000"/>
                <w:sz w:val="19"/>
                <w:szCs w:val="19"/>
                <w:lang w:val="en-US" w:eastAsia="en-US"/>
              </w:rPr>
              <w:t>1 DECEMBER</w:t>
            </w:r>
            <w:r w:rsidR="0059197F" w:rsidRPr="00A36BED">
              <w:rPr>
                <w:rFonts w:ascii="Tahoma" w:hAnsi="Tahoma" w:cs="Tahoma"/>
                <w:b/>
                <w:bCs/>
                <w:snapToGrid w:val="0"/>
                <w:color w:val="000000"/>
                <w:sz w:val="19"/>
                <w:szCs w:val="19"/>
                <w:lang w:val="en-US" w:eastAsia="en-US"/>
              </w:rPr>
              <w:t xml:space="preserve"> 201</w:t>
            </w:r>
            <w:r w:rsidR="00643010">
              <w:rPr>
                <w:rFonts w:ascii="Tahoma" w:hAnsi="Tahoma" w:cs="Tahoma"/>
                <w:b/>
                <w:bCs/>
                <w:snapToGrid w:val="0"/>
                <w:color w:val="000000"/>
                <w:sz w:val="19"/>
                <w:szCs w:val="19"/>
                <w:lang w:val="en-US" w:eastAsia="en-US"/>
              </w:rPr>
              <w:t>4</w:t>
            </w:r>
            <w:r w:rsidR="00A36BED" w:rsidRPr="00A36BED">
              <w:rPr>
                <w:rFonts w:ascii="Tahoma" w:hAnsi="Tahoma" w:cs="Tahoma"/>
                <w:b/>
                <w:bCs/>
                <w:snapToGrid w:val="0"/>
                <w:color w:val="000000"/>
                <w:sz w:val="19"/>
                <w:szCs w:val="19"/>
                <w:lang w:val="en-US" w:eastAsia="en-US"/>
              </w:rPr>
              <w:t xml:space="preserve"> AND </w:t>
            </w:r>
            <w:r w:rsidR="00EB2FF9">
              <w:rPr>
                <w:rFonts w:ascii="Tahoma" w:hAnsi="Tahoma" w:cs="Tahoma"/>
                <w:b/>
                <w:bCs/>
                <w:snapToGrid w:val="0"/>
                <w:color w:val="000000"/>
                <w:sz w:val="19"/>
                <w:szCs w:val="19"/>
                <w:lang w:val="en-US" w:eastAsia="en-US"/>
              </w:rPr>
              <w:t>HEADLINE</w:t>
            </w:r>
            <w:r w:rsidR="00A36BED" w:rsidRPr="00A36BED">
              <w:rPr>
                <w:rFonts w:ascii="Tahoma" w:hAnsi="Tahoma" w:cs="Tahoma"/>
                <w:b/>
                <w:bCs/>
                <w:snapToGrid w:val="0"/>
                <w:color w:val="000000"/>
                <w:sz w:val="19"/>
                <w:szCs w:val="19"/>
                <w:lang w:val="en-US" w:eastAsia="en-US"/>
              </w:rPr>
              <w:t xml:space="preserve"> KPIs </w:t>
            </w:r>
          </w:p>
          <w:p w:rsidR="00807413" w:rsidRPr="00A36BED" w:rsidRDefault="00A36BED" w:rsidP="00643010">
            <w:pPr>
              <w:ind w:firstLine="106"/>
              <w:jc w:val="center"/>
              <w:rPr>
                <w:rFonts w:ascii="Tahoma" w:hAnsi="Tahoma" w:cs="Tahoma"/>
                <w:b/>
                <w:bCs/>
                <w:sz w:val="19"/>
                <w:szCs w:val="19"/>
              </w:rPr>
            </w:pPr>
            <w:r w:rsidRPr="00A36BED">
              <w:rPr>
                <w:rFonts w:ascii="Tahoma" w:hAnsi="Tahoma" w:cs="Tahoma"/>
                <w:b/>
                <w:bCs/>
                <w:snapToGrid w:val="0"/>
                <w:color w:val="000000"/>
                <w:sz w:val="19"/>
                <w:szCs w:val="19"/>
                <w:lang w:val="en-US" w:eastAsia="en-US"/>
              </w:rPr>
              <w:t>FOR THE YEAR ENDING</w:t>
            </w:r>
            <w:r w:rsidR="00517306">
              <w:rPr>
                <w:rFonts w:ascii="Tahoma" w:hAnsi="Tahoma" w:cs="Tahoma"/>
                <w:b/>
                <w:bCs/>
                <w:snapToGrid w:val="0"/>
                <w:color w:val="000000"/>
                <w:sz w:val="19"/>
                <w:szCs w:val="19"/>
                <w:lang w:val="en-US" w:eastAsia="en-US"/>
              </w:rPr>
              <w:t xml:space="preserve"> </w:t>
            </w:r>
            <w:r w:rsidRPr="00A36BED">
              <w:rPr>
                <w:rFonts w:ascii="Tahoma" w:hAnsi="Tahoma" w:cs="Tahoma"/>
                <w:b/>
                <w:bCs/>
                <w:snapToGrid w:val="0"/>
                <w:color w:val="000000"/>
                <w:sz w:val="19"/>
                <w:szCs w:val="19"/>
                <w:lang w:val="en-US" w:eastAsia="en-US"/>
              </w:rPr>
              <w:t>31 DECEMBER 201</w:t>
            </w:r>
            <w:r w:rsidR="00643010">
              <w:rPr>
                <w:rFonts w:ascii="Tahoma" w:hAnsi="Tahoma" w:cs="Tahoma"/>
                <w:b/>
                <w:bCs/>
                <w:snapToGrid w:val="0"/>
                <w:color w:val="000000"/>
                <w:sz w:val="19"/>
                <w:szCs w:val="19"/>
                <w:lang w:val="en-US" w:eastAsia="en-US"/>
              </w:rPr>
              <w:t>5</w:t>
            </w:r>
          </w:p>
        </w:tc>
      </w:tr>
    </w:tbl>
    <w:p w:rsidR="00807413" w:rsidRPr="00A36BED" w:rsidRDefault="00807413" w:rsidP="0059197F">
      <w:pPr>
        <w:jc w:val="center"/>
        <w:rPr>
          <w:rFonts w:ascii="Tahoma" w:hAnsi="Tahoma" w:cs="Tahoma"/>
          <w:sz w:val="19"/>
          <w:szCs w:val="19"/>
        </w:rPr>
      </w:pPr>
    </w:p>
    <w:p w:rsidR="00CF07B7" w:rsidRPr="00A36BED" w:rsidRDefault="00807413" w:rsidP="00F75392">
      <w:pPr>
        <w:pStyle w:val="BodyText"/>
        <w:rPr>
          <w:rFonts w:ascii="Tahoma" w:hAnsi="Tahoma" w:cs="Tahoma"/>
          <w:sz w:val="19"/>
          <w:szCs w:val="19"/>
        </w:rPr>
      </w:pPr>
      <w:r w:rsidRPr="00A36BED">
        <w:rPr>
          <w:rFonts w:ascii="Tahoma" w:hAnsi="Tahoma" w:cs="Tahoma"/>
          <w:sz w:val="19"/>
          <w:szCs w:val="19"/>
        </w:rPr>
        <w:t xml:space="preserve">AFFIN Holdings Berhad ("the Company") or (“AHB”) would like to announce its achievement of Headline Key Performance Indicators ("KPIs") for the </w:t>
      </w:r>
      <w:r w:rsidR="006E67C1" w:rsidRPr="00A36BED">
        <w:rPr>
          <w:rFonts w:ascii="Tahoma" w:hAnsi="Tahoma" w:cs="Tahoma"/>
          <w:sz w:val="19"/>
          <w:szCs w:val="19"/>
        </w:rPr>
        <w:t>year</w:t>
      </w:r>
      <w:r w:rsidR="0059197F" w:rsidRPr="00A36BED">
        <w:rPr>
          <w:rFonts w:ascii="Tahoma" w:hAnsi="Tahoma" w:cs="Tahoma"/>
          <w:sz w:val="19"/>
          <w:szCs w:val="19"/>
        </w:rPr>
        <w:t xml:space="preserve"> ended </w:t>
      </w:r>
      <w:r w:rsidR="006E67C1" w:rsidRPr="00A36BED">
        <w:rPr>
          <w:rFonts w:ascii="Tahoma" w:hAnsi="Tahoma" w:cs="Tahoma"/>
          <w:sz w:val="19"/>
          <w:szCs w:val="19"/>
        </w:rPr>
        <w:t>31 December</w:t>
      </w:r>
      <w:r w:rsidR="0059197F" w:rsidRPr="00A36BED">
        <w:rPr>
          <w:rFonts w:ascii="Tahoma" w:hAnsi="Tahoma" w:cs="Tahoma"/>
          <w:sz w:val="19"/>
          <w:szCs w:val="19"/>
        </w:rPr>
        <w:t xml:space="preserve"> 201</w:t>
      </w:r>
      <w:r w:rsidR="00643010">
        <w:rPr>
          <w:rFonts w:ascii="Tahoma" w:hAnsi="Tahoma" w:cs="Tahoma"/>
          <w:sz w:val="19"/>
          <w:szCs w:val="19"/>
        </w:rPr>
        <w:t>4</w:t>
      </w:r>
      <w:r w:rsidR="00CF07B7" w:rsidRPr="00A36BED">
        <w:rPr>
          <w:rFonts w:ascii="Tahoma" w:hAnsi="Tahoma" w:cs="Tahoma"/>
          <w:sz w:val="19"/>
          <w:szCs w:val="19"/>
        </w:rPr>
        <w:t xml:space="preserve"> as compared to the </w:t>
      </w:r>
      <w:r w:rsidR="00DC36EB">
        <w:rPr>
          <w:rFonts w:ascii="Tahoma" w:hAnsi="Tahoma" w:cs="Tahoma"/>
          <w:sz w:val="19"/>
          <w:szCs w:val="19"/>
        </w:rPr>
        <w:t>H</w:t>
      </w:r>
      <w:r w:rsidR="00CF07B7" w:rsidRPr="00A36BED">
        <w:rPr>
          <w:rFonts w:ascii="Tahoma" w:hAnsi="Tahoma" w:cs="Tahoma"/>
          <w:sz w:val="19"/>
          <w:szCs w:val="19"/>
        </w:rPr>
        <w:t>eadline KPIs for 201</w:t>
      </w:r>
      <w:r w:rsidR="00643010">
        <w:rPr>
          <w:rFonts w:ascii="Tahoma" w:hAnsi="Tahoma" w:cs="Tahoma"/>
          <w:sz w:val="19"/>
          <w:szCs w:val="19"/>
        </w:rPr>
        <w:t>4</w:t>
      </w:r>
      <w:r w:rsidR="00A36BED" w:rsidRPr="00A36BED">
        <w:rPr>
          <w:rFonts w:ascii="Tahoma" w:hAnsi="Tahoma" w:cs="Tahoma"/>
          <w:sz w:val="19"/>
          <w:szCs w:val="19"/>
        </w:rPr>
        <w:t xml:space="preserve"> and the </w:t>
      </w:r>
      <w:r w:rsidR="0002776F">
        <w:rPr>
          <w:rFonts w:ascii="Tahoma" w:hAnsi="Tahoma" w:cs="Tahoma"/>
          <w:sz w:val="19"/>
          <w:szCs w:val="19"/>
        </w:rPr>
        <w:t xml:space="preserve">Headline </w:t>
      </w:r>
      <w:r w:rsidR="00A36BED" w:rsidRPr="00A36BED">
        <w:rPr>
          <w:rFonts w:ascii="Tahoma" w:hAnsi="Tahoma" w:cs="Tahoma"/>
          <w:sz w:val="19"/>
          <w:szCs w:val="19"/>
        </w:rPr>
        <w:t>KPIs for the year ending 31 December 201</w:t>
      </w:r>
      <w:r w:rsidR="00643010">
        <w:rPr>
          <w:rFonts w:ascii="Tahoma" w:hAnsi="Tahoma" w:cs="Tahoma"/>
          <w:sz w:val="19"/>
          <w:szCs w:val="19"/>
        </w:rPr>
        <w:t>5</w:t>
      </w:r>
      <w:r w:rsidR="00A36BED" w:rsidRPr="00A36BED">
        <w:rPr>
          <w:rFonts w:ascii="Tahoma" w:hAnsi="Tahoma" w:cs="Tahoma"/>
          <w:sz w:val="19"/>
          <w:szCs w:val="19"/>
        </w:rPr>
        <w:t xml:space="preserve"> </w:t>
      </w:r>
      <w:r w:rsidR="00CF07B7" w:rsidRPr="00A36BED">
        <w:rPr>
          <w:rFonts w:ascii="Tahoma" w:hAnsi="Tahoma" w:cs="Tahoma"/>
          <w:sz w:val="19"/>
          <w:szCs w:val="19"/>
        </w:rPr>
        <w:t xml:space="preserve">as </w:t>
      </w:r>
      <w:r w:rsidR="000F5472" w:rsidRPr="00A36BED">
        <w:rPr>
          <w:rFonts w:ascii="Tahoma" w:hAnsi="Tahoma" w:cs="Tahoma"/>
          <w:sz w:val="19"/>
          <w:szCs w:val="19"/>
        </w:rPr>
        <w:t>follows</w:t>
      </w:r>
      <w:r w:rsidR="00CF07B7" w:rsidRPr="00A36BED">
        <w:rPr>
          <w:rFonts w:ascii="Tahoma" w:hAnsi="Tahoma" w:cs="Tahoma"/>
          <w:sz w:val="19"/>
          <w:szCs w:val="19"/>
        </w:rPr>
        <w:t>:-</w:t>
      </w:r>
    </w:p>
    <w:p w:rsidR="00CF07B7" w:rsidRPr="00A36BED" w:rsidRDefault="00CF07B7" w:rsidP="009C0C10">
      <w:pPr>
        <w:pStyle w:val="BodyText"/>
        <w:spacing w:line="300" w:lineRule="exact"/>
        <w:rPr>
          <w:rFonts w:ascii="Tahoma" w:hAnsi="Tahoma" w:cs="Tahoma"/>
          <w:sz w:val="19"/>
          <w:szCs w:val="19"/>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861"/>
        <w:gridCol w:w="1701"/>
        <w:gridCol w:w="1985"/>
        <w:gridCol w:w="1984"/>
      </w:tblGrid>
      <w:tr w:rsidR="00BB205B" w:rsidRPr="00B306D1" w:rsidTr="00204AF4">
        <w:trPr>
          <w:trHeight w:val="921"/>
        </w:trPr>
        <w:tc>
          <w:tcPr>
            <w:tcW w:w="541" w:type="dxa"/>
            <w:shd w:val="clear" w:color="auto" w:fill="BFBFBF" w:themeFill="background1" w:themeFillShade="BF"/>
            <w:vAlign w:val="center"/>
          </w:tcPr>
          <w:p w:rsidR="00BB205B" w:rsidRPr="00B306D1" w:rsidRDefault="00BB205B" w:rsidP="00B306D1">
            <w:pPr>
              <w:spacing w:line="240" w:lineRule="atLeast"/>
              <w:jc w:val="center"/>
              <w:rPr>
                <w:rFonts w:ascii="Tahoma" w:hAnsi="Tahoma" w:cs="Tahoma"/>
                <w:snapToGrid w:val="0"/>
                <w:color w:val="000000"/>
                <w:sz w:val="18"/>
                <w:szCs w:val="18"/>
                <w:lang w:val="en-US"/>
              </w:rPr>
            </w:pPr>
          </w:p>
        </w:tc>
        <w:tc>
          <w:tcPr>
            <w:tcW w:w="2861" w:type="dxa"/>
            <w:shd w:val="clear" w:color="auto" w:fill="BFBFBF" w:themeFill="background1" w:themeFillShade="BF"/>
            <w:vAlign w:val="center"/>
          </w:tcPr>
          <w:p w:rsidR="00BB205B" w:rsidRPr="002F7F8E" w:rsidRDefault="00BB205B" w:rsidP="002C2682">
            <w:pPr>
              <w:spacing w:line="240" w:lineRule="atLeast"/>
              <w:jc w:val="center"/>
              <w:rPr>
                <w:rFonts w:ascii="Tahoma" w:hAnsi="Tahoma" w:cs="Tahoma"/>
                <w:b/>
                <w:snapToGrid w:val="0"/>
                <w:color w:val="000000"/>
                <w:sz w:val="17"/>
                <w:szCs w:val="17"/>
                <w:lang w:val="en-US"/>
              </w:rPr>
            </w:pPr>
            <w:r w:rsidRPr="002F7F8E">
              <w:rPr>
                <w:rFonts w:ascii="Tahoma" w:hAnsi="Tahoma" w:cs="Tahoma"/>
                <w:b/>
                <w:snapToGrid w:val="0"/>
                <w:color w:val="000000"/>
                <w:sz w:val="17"/>
                <w:szCs w:val="17"/>
                <w:lang w:val="en-US"/>
              </w:rPr>
              <w:t>Headline KPIs for 201</w:t>
            </w:r>
            <w:r w:rsidR="002C2682" w:rsidRPr="002F7F8E">
              <w:rPr>
                <w:rFonts w:ascii="Tahoma" w:hAnsi="Tahoma" w:cs="Tahoma"/>
                <w:b/>
                <w:snapToGrid w:val="0"/>
                <w:color w:val="000000"/>
                <w:sz w:val="17"/>
                <w:szCs w:val="17"/>
                <w:lang w:val="en-US"/>
              </w:rPr>
              <w:t>4</w:t>
            </w:r>
          </w:p>
        </w:tc>
        <w:tc>
          <w:tcPr>
            <w:tcW w:w="1701" w:type="dxa"/>
            <w:shd w:val="clear" w:color="auto" w:fill="BFBFBF" w:themeFill="background1" w:themeFillShade="BF"/>
            <w:vAlign w:val="center"/>
          </w:tcPr>
          <w:p w:rsidR="00BB205B" w:rsidRPr="002F7F8E" w:rsidRDefault="00BB205B" w:rsidP="00B306D1">
            <w:pPr>
              <w:spacing w:line="240" w:lineRule="atLeast"/>
              <w:jc w:val="center"/>
              <w:rPr>
                <w:rFonts w:ascii="Tahoma" w:hAnsi="Tahoma" w:cs="Tahoma"/>
                <w:b/>
                <w:snapToGrid w:val="0"/>
                <w:color w:val="000000"/>
                <w:sz w:val="17"/>
                <w:szCs w:val="17"/>
                <w:lang w:val="en-US"/>
              </w:rPr>
            </w:pPr>
            <w:r w:rsidRPr="002F7F8E">
              <w:rPr>
                <w:rFonts w:ascii="Tahoma" w:hAnsi="Tahoma" w:cs="Tahoma"/>
                <w:b/>
                <w:snapToGrid w:val="0"/>
                <w:color w:val="000000"/>
                <w:sz w:val="17"/>
                <w:szCs w:val="17"/>
                <w:lang w:val="en-US"/>
              </w:rPr>
              <w:t>Announced on</w:t>
            </w:r>
          </w:p>
          <w:p w:rsidR="00BB205B" w:rsidRPr="002F7F8E" w:rsidRDefault="00643010" w:rsidP="00643010">
            <w:pPr>
              <w:spacing w:line="240" w:lineRule="atLeast"/>
              <w:jc w:val="center"/>
              <w:rPr>
                <w:rFonts w:ascii="Tahoma" w:hAnsi="Tahoma" w:cs="Tahoma"/>
                <w:b/>
                <w:snapToGrid w:val="0"/>
                <w:color w:val="000000"/>
                <w:sz w:val="17"/>
                <w:szCs w:val="17"/>
                <w:lang w:val="en-US"/>
              </w:rPr>
            </w:pPr>
            <w:r w:rsidRPr="002F7F8E">
              <w:rPr>
                <w:rFonts w:ascii="Tahoma" w:hAnsi="Tahoma" w:cs="Tahoma"/>
                <w:b/>
                <w:snapToGrid w:val="0"/>
                <w:color w:val="000000"/>
                <w:sz w:val="17"/>
                <w:szCs w:val="17"/>
                <w:lang w:val="en-US"/>
              </w:rPr>
              <w:t>26</w:t>
            </w:r>
            <w:r w:rsidR="00BB205B" w:rsidRPr="002F7F8E">
              <w:rPr>
                <w:rFonts w:ascii="Tahoma" w:hAnsi="Tahoma" w:cs="Tahoma"/>
                <w:b/>
                <w:snapToGrid w:val="0"/>
                <w:color w:val="000000"/>
                <w:sz w:val="17"/>
                <w:szCs w:val="17"/>
                <w:lang w:val="en-US"/>
              </w:rPr>
              <w:t xml:space="preserve"> February 201</w:t>
            </w:r>
            <w:r w:rsidRPr="002F7F8E">
              <w:rPr>
                <w:rFonts w:ascii="Tahoma" w:hAnsi="Tahoma" w:cs="Tahoma"/>
                <w:b/>
                <w:snapToGrid w:val="0"/>
                <w:color w:val="000000"/>
                <w:sz w:val="17"/>
                <w:szCs w:val="17"/>
                <w:lang w:val="en-US"/>
              </w:rPr>
              <w:t>4</w:t>
            </w:r>
          </w:p>
        </w:tc>
        <w:tc>
          <w:tcPr>
            <w:tcW w:w="1985" w:type="dxa"/>
            <w:shd w:val="clear" w:color="auto" w:fill="BFBFBF" w:themeFill="background1" w:themeFillShade="BF"/>
            <w:vAlign w:val="center"/>
          </w:tcPr>
          <w:p w:rsidR="00BB205B" w:rsidRPr="002F7F8E" w:rsidRDefault="00BB205B" w:rsidP="00B306D1">
            <w:pPr>
              <w:spacing w:line="240" w:lineRule="atLeast"/>
              <w:jc w:val="center"/>
              <w:rPr>
                <w:rFonts w:ascii="Tahoma" w:hAnsi="Tahoma" w:cs="Tahoma"/>
                <w:b/>
                <w:snapToGrid w:val="0"/>
                <w:color w:val="000000"/>
                <w:sz w:val="17"/>
                <w:szCs w:val="17"/>
                <w:lang w:val="en-US"/>
              </w:rPr>
            </w:pPr>
            <w:r w:rsidRPr="002F7F8E">
              <w:rPr>
                <w:rFonts w:ascii="Tahoma" w:hAnsi="Tahoma" w:cs="Tahoma"/>
                <w:b/>
                <w:snapToGrid w:val="0"/>
                <w:color w:val="000000"/>
                <w:sz w:val="17"/>
                <w:szCs w:val="17"/>
                <w:lang w:val="en-US"/>
              </w:rPr>
              <w:t>Achieved for the</w:t>
            </w:r>
          </w:p>
          <w:p w:rsidR="004F5435" w:rsidRPr="002F7F8E" w:rsidRDefault="00BB205B" w:rsidP="00B306D1">
            <w:pPr>
              <w:spacing w:line="240" w:lineRule="atLeast"/>
              <w:jc w:val="center"/>
              <w:rPr>
                <w:rFonts w:ascii="Tahoma" w:hAnsi="Tahoma" w:cs="Tahoma"/>
                <w:b/>
                <w:snapToGrid w:val="0"/>
                <w:color w:val="000000"/>
                <w:sz w:val="17"/>
                <w:szCs w:val="17"/>
                <w:lang w:val="en-US"/>
              </w:rPr>
            </w:pPr>
            <w:r w:rsidRPr="002F7F8E">
              <w:rPr>
                <w:rFonts w:ascii="Tahoma" w:hAnsi="Tahoma" w:cs="Tahoma"/>
                <w:b/>
                <w:snapToGrid w:val="0"/>
                <w:color w:val="000000"/>
                <w:sz w:val="17"/>
                <w:szCs w:val="17"/>
                <w:lang w:val="en-US"/>
              </w:rPr>
              <w:t>year ended</w:t>
            </w:r>
          </w:p>
          <w:p w:rsidR="00BB205B" w:rsidRPr="002F7F8E" w:rsidRDefault="00BB205B" w:rsidP="00643010">
            <w:pPr>
              <w:spacing w:line="240" w:lineRule="atLeast"/>
              <w:jc w:val="center"/>
              <w:rPr>
                <w:rFonts w:ascii="Tahoma" w:hAnsi="Tahoma" w:cs="Tahoma"/>
                <w:b/>
                <w:snapToGrid w:val="0"/>
                <w:color w:val="000000"/>
                <w:sz w:val="17"/>
                <w:szCs w:val="17"/>
                <w:lang w:val="en-US"/>
              </w:rPr>
            </w:pPr>
            <w:r w:rsidRPr="002F7F8E">
              <w:rPr>
                <w:rFonts w:ascii="Tahoma" w:hAnsi="Tahoma" w:cs="Tahoma"/>
                <w:b/>
                <w:snapToGrid w:val="0"/>
                <w:color w:val="000000"/>
                <w:sz w:val="17"/>
                <w:szCs w:val="17"/>
                <w:lang w:val="en-US"/>
              </w:rPr>
              <w:t>31 December 201</w:t>
            </w:r>
            <w:r w:rsidR="00643010" w:rsidRPr="002F7F8E">
              <w:rPr>
                <w:rFonts w:ascii="Tahoma" w:hAnsi="Tahoma" w:cs="Tahoma"/>
                <w:b/>
                <w:snapToGrid w:val="0"/>
                <w:color w:val="000000"/>
                <w:sz w:val="17"/>
                <w:szCs w:val="17"/>
                <w:lang w:val="en-US"/>
              </w:rPr>
              <w:t>4</w:t>
            </w:r>
          </w:p>
        </w:tc>
        <w:tc>
          <w:tcPr>
            <w:tcW w:w="1984" w:type="dxa"/>
            <w:shd w:val="clear" w:color="auto" w:fill="BFBFBF" w:themeFill="background1" w:themeFillShade="BF"/>
            <w:vAlign w:val="center"/>
          </w:tcPr>
          <w:p w:rsidR="00BB205B" w:rsidRPr="002F7F8E" w:rsidRDefault="00914D6A" w:rsidP="00B306D1">
            <w:pPr>
              <w:spacing w:line="240" w:lineRule="atLeast"/>
              <w:jc w:val="center"/>
              <w:rPr>
                <w:rFonts w:ascii="Tahoma" w:hAnsi="Tahoma" w:cs="Tahoma"/>
                <w:b/>
                <w:snapToGrid w:val="0"/>
                <w:color w:val="000000"/>
                <w:sz w:val="17"/>
                <w:szCs w:val="17"/>
                <w:lang w:val="en-US"/>
              </w:rPr>
            </w:pPr>
            <w:r w:rsidRPr="002F7F8E">
              <w:rPr>
                <w:rFonts w:ascii="Tahoma" w:hAnsi="Tahoma" w:cs="Tahoma"/>
                <w:b/>
                <w:snapToGrid w:val="0"/>
                <w:color w:val="000000"/>
                <w:sz w:val="17"/>
                <w:szCs w:val="17"/>
                <w:lang w:val="en-US"/>
              </w:rPr>
              <w:t xml:space="preserve">% of achievement  of </w:t>
            </w:r>
            <w:r w:rsidR="002F7F8E" w:rsidRPr="002F7F8E">
              <w:rPr>
                <w:rFonts w:ascii="Tahoma" w:hAnsi="Tahoma" w:cs="Tahoma"/>
                <w:b/>
                <w:snapToGrid w:val="0"/>
                <w:color w:val="000000"/>
                <w:sz w:val="17"/>
                <w:szCs w:val="17"/>
                <w:lang w:val="en-US"/>
              </w:rPr>
              <w:t xml:space="preserve">Headline </w:t>
            </w:r>
            <w:r w:rsidRPr="002F7F8E">
              <w:rPr>
                <w:rFonts w:ascii="Tahoma" w:hAnsi="Tahoma" w:cs="Tahoma"/>
                <w:b/>
                <w:snapToGrid w:val="0"/>
                <w:color w:val="000000"/>
                <w:sz w:val="17"/>
                <w:szCs w:val="17"/>
                <w:lang w:val="en-US"/>
              </w:rPr>
              <w:t>KPIs</w:t>
            </w:r>
          </w:p>
        </w:tc>
      </w:tr>
      <w:tr w:rsidR="00643010" w:rsidRPr="00B306D1" w:rsidTr="00204AF4">
        <w:tc>
          <w:tcPr>
            <w:tcW w:w="541" w:type="dxa"/>
          </w:tcPr>
          <w:p w:rsidR="00643010" w:rsidRPr="00B306D1" w:rsidRDefault="00643010" w:rsidP="00F56FB6">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1.</w:t>
            </w:r>
          </w:p>
        </w:tc>
        <w:tc>
          <w:tcPr>
            <w:tcW w:w="2861" w:type="dxa"/>
          </w:tcPr>
          <w:p w:rsidR="00643010" w:rsidRPr="002F7F8E" w:rsidRDefault="00643010" w:rsidP="00F56FB6">
            <w:pPr>
              <w:spacing w:line="360" w:lineRule="exact"/>
              <w:jc w:val="both"/>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After Tax Return on Equity (ROE)</w:t>
            </w:r>
          </w:p>
        </w:tc>
        <w:tc>
          <w:tcPr>
            <w:tcW w:w="1701" w:type="dxa"/>
          </w:tcPr>
          <w:p w:rsidR="00643010" w:rsidRPr="002F7F8E" w:rsidRDefault="00643010" w:rsidP="004E63DE">
            <w:pPr>
              <w:spacing w:line="360" w:lineRule="exact"/>
              <w:jc w:val="center"/>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9.2%</w:t>
            </w:r>
          </w:p>
        </w:tc>
        <w:tc>
          <w:tcPr>
            <w:tcW w:w="1985" w:type="dxa"/>
          </w:tcPr>
          <w:p w:rsidR="00643010" w:rsidRPr="002F7F8E" w:rsidRDefault="00643010" w:rsidP="004E63DE">
            <w:pPr>
              <w:spacing w:line="360" w:lineRule="exact"/>
              <w:jc w:val="center"/>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8.4%</w:t>
            </w:r>
          </w:p>
        </w:tc>
        <w:tc>
          <w:tcPr>
            <w:tcW w:w="1984" w:type="dxa"/>
          </w:tcPr>
          <w:p w:rsidR="00643010" w:rsidRPr="002F7F8E" w:rsidRDefault="00914D6A" w:rsidP="004E63DE">
            <w:pPr>
              <w:spacing w:line="360" w:lineRule="exact"/>
              <w:jc w:val="center"/>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91.3</w:t>
            </w:r>
            <w:r w:rsidR="002F7F8E">
              <w:rPr>
                <w:rFonts w:ascii="Tahoma" w:hAnsi="Tahoma" w:cs="Tahoma"/>
                <w:snapToGrid w:val="0"/>
                <w:color w:val="000000"/>
                <w:sz w:val="17"/>
                <w:szCs w:val="17"/>
                <w:lang w:val="en-US"/>
              </w:rPr>
              <w:t>%</w:t>
            </w:r>
          </w:p>
        </w:tc>
      </w:tr>
      <w:tr w:rsidR="00643010" w:rsidRPr="00B306D1" w:rsidTr="00204AF4">
        <w:tc>
          <w:tcPr>
            <w:tcW w:w="541" w:type="dxa"/>
          </w:tcPr>
          <w:p w:rsidR="00643010" w:rsidRPr="00B306D1" w:rsidRDefault="00643010" w:rsidP="00F56FB6">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2.</w:t>
            </w:r>
          </w:p>
        </w:tc>
        <w:tc>
          <w:tcPr>
            <w:tcW w:w="2861" w:type="dxa"/>
          </w:tcPr>
          <w:p w:rsidR="00643010" w:rsidRPr="002F7F8E" w:rsidRDefault="00643010" w:rsidP="00F56FB6">
            <w:pPr>
              <w:spacing w:line="360" w:lineRule="exact"/>
              <w:jc w:val="both"/>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After Tax Return on Assets (ROA)</w:t>
            </w:r>
          </w:p>
        </w:tc>
        <w:tc>
          <w:tcPr>
            <w:tcW w:w="1701" w:type="dxa"/>
          </w:tcPr>
          <w:p w:rsidR="00643010" w:rsidRPr="002F7F8E" w:rsidRDefault="00643010" w:rsidP="004E63DE">
            <w:pPr>
              <w:spacing w:line="360" w:lineRule="exact"/>
              <w:jc w:val="center"/>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1.1%</w:t>
            </w:r>
          </w:p>
        </w:tc>
        <w:tc>
          <w:tcPr>
            <w:tcW w:w="1985" w:type="dxa"/>
          </w:tcPr>
          <w:p w:rsidR="00643010" w:rsidRPr="002F7F8E" w:rsidRDefault="00643010" w:rsidP="004E63DE">
            <w:pPr>
              <w:spacing w:line="360" w:lineRule="exact"/>
              <w:jc w:val="center"/>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1.0%</w:t>
            </w:r>
          </w:p>
        </w:tc>
        <w:tc>
          <w:tcPr>
            <w:tcW w:w="1984" w:type="dxa"/>
          </w:tcPr>
          <w:p w:rsidR="00643010" w:rsidRPr="002F7F8E" w:rsidRDefault="00914D6A" w:rsidP="004E63DE">
            <w:pPr>
              <w:spacing w:line="360" w:lineRule="exact"/>
              <w:jc w:val="center"/>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90.9</w:t>
            </w:r>
            <w:r w:rsidR="002F7F8E">
              <w:rPr>
                <w:rFonts w:ascii="Tahoma" w:hAnsi="Tahoma" w:cs="Tahoma"/>
                <w:snapToGrid w:val="0"/>
                <w:color w:val="000000"/>
                <w:sz w:val="17"/>
                <w:szCs w:val="17"/>
                <w:lang w:val="en-US"/>
              </w:rPr>
              <w:t>%</w:t>
            </w:r>
          </w:p>
        </w:tc>
      </w:tr>
      <w:tr w:rsidR="00643010" w:rsidRPr="00B306D1" w:rsidTr="00204AF4">
        <w:tc>
          <w:tcPr>
            <w:tcW w:w="541" w:type="dxa"/>
          </w:tcPr>
          <w:p w:rsidR="00643010" w:rsidRPr="00B306D1" w:rsidRDefault="00643010" w:rsidP="00F56FB6">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3.</w:t>
            </w:r>
          </w:p>
        </w:tc>
        <w:tc>
          <w:tcPr>
            <w:tcW w:w="2861" w:type="dxa"/>
          </w:tcPr>
          <w:p w:rsidR="00643010" w:rsidRPr="002F7F8E" w:rsidRDefault="00643010" w:rsidP="00F56FB6">
            <w:pPr>
              <w:spacing w:line="360" w:lineRule="exact"/>
              <w:jc w:val="both"/>
              <w:rPr>
                <w:rFonts w:ascii="Tahoma" w:hAnsi="Tahoma" w:cs="Tahoma"/>
                <w:snapToGrid w:val="0"/>
                <w:color w:val="000000"/>
                <w:sz w:val="17"/>
                <w:szCs w:val="17"/>
                <w:lang w:val="en-US"/>
              </w:rPr>
            </w:pPr>
            <w:r w:rsidRPr="002F7F8E">
              <w:rPr>
                <w:rFonts w:ascii="Tahoma" w:hAnsi="Tahoma" w:cs="Tahoma"/>
                <w:sz w:val="17"/>
                <w:szCs w:val="17"/>
              </w:rPr>
              <w:t>Gross Impaired Loan Ratio</w:t>
            </w:r>
          </w:p>
        </w:tc>
        <w:tc>
          <w:tcPr>
            <w:tcW w:w="1701" w:type="dxa"/>
          </w:tcPr>
          <w:p w:rsidR="00643010" w:rsidRPr="002F7F8E" w:rsidRDefault="00643010" w:rsidP="004E63DE">
            <w:pPr>
              <w:spacing w:line="360" w:lineRule="exact"/>
              <w:jc w:val="center"/>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1.84%</w:t>
            </w:r>
          </w:p>
        </w:tc>
        <w:tc>
          <w:tcPr>
            <w:tcW w:w="1985" w:type="dxa"/>
          </w:tcPr>
          <w:p w:rsidR="00643010" w:rsidRPr="002F7F8E" w:rsidRDefault="00C74569" w:rsidP="004E63DE">
            <w:pPr>
              <w:spacing w:line="360" w:lineRule="exact"/>
              <w:jc w:val="center"/>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1.82</w:t>
            </w:r>
            <w:r w:rsidR="00643010" w:rsidRPr="002F7F8E">
              <w:rPr>
                <w:rFonts w:ascii="Tahoma" w:hAnsi="Tahoma" w:cs="Tahoma"/>
                <w:snapToGrid w:val="0"/>
                <w:color w:val="000000"/>
                <w:sz w:val="17"/>
                <w:szCs w:val="17"/>
                <w:lang w:val="en-US"/>
              </w:rPr>
              <w:t>%</w:t>
            </w:r>
          </w:p>
        </w:tc>
        <w:tc>
          <w:tcPr>
            <w:tcW w:w="1984" w:type="dxa"/>
          </w:tcPr>
          <w:p w:rsidR="00643010" w:rsidRPr="002F7F8E" w:rsidRDefault="00914D6A" w:rsidP="00C74569">
            <w:pPr>
              <w:spacing w:line="360" w:lineRule="exact"/>
              <w:jc w:val="center"/>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101.1</w:t>
            </w:r>
            <w:r w:rsidR="002F7F8E">
              <w:rPr>
                <w:rFonts w:ascii="Tahoma" w:hAnsi="Tahoma" w:cs="Tahoma"/>
                <w:snapToGrid w:val="0"/>
                <w:color w:val="000000"/>
                <w:sz w:val="17"/>
                <w:szCs w:val="17"/>
                <w:lang w:val="en-US"/>
              </w:rPr>
              <w:t>%</w:t>
            </w:r>
          </w:p>
        </w:tc>
      </w:tr>
      <w:tr w:rsidR="00643010" w:rsidRPr="00B306D1" w:rsidTr="00204AF4">
        <w:trPr>
          <w:trHeight w:val="396"/>
        </w:trPr>
        <w:tc>
          <w:tcPr>
            <w:tcW w:w="541" w:type="dxa"/>
          </w:tcPr>
          <w:p w:rsidR="00643010" w:rsidRPr="00B306D1" w:rsidRDefault="00643010" w:rsidP="00F56FB6">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4.</w:t>
            </w:r>
          </w:p>
        </w:tc>
        <w:tc>
          <w:tcPr>
            <w:tcW w:w="2861" w:type="dxa"/>
          </w:tcPr>
          <w:p w:rsidR="00643010" w:rsidRPr="002F7F8E" w:rsidRDefault="00643010" w:rsidP="00F56FB6">
            <w:pPr>
              <w:spacing w:line="360" w:lineRule="exact"/>
              <w:jc w:val="both"/>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Earnings Per Share (EPS)</w:t>
            </w:r>
          </w:p>
        </w:tc>
        <w:tc>
          <w:tcPr>
            <w:tcW w:w="1701" w:type="dxa"/>
          </w:tcPr>
          <w:p w:rsidR="00643010" w:rsidRPr="002F7F8E" w:rsidRDefault="00643010" w:rsidP="004E63DE">
            <w:pPr>
              <w:spacing w:line="360" w:lineRule="exact"/>
              <w:jc w:val="center"/>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36.00 sen</w:t>
            </w:r>
          </w:p>
        </w:tc>
        <w:tc>
          <w:tcPr>
            <w:tcW w:w="1985" w:type="dxa"/>
          </w:tcPr>
          <w:p w:rsidR="00643010" w:rsidRPr="002F7F8E" w:rsidRDefault="00643010" w:rsidP="004E63DE">
            <w:pPr>
              <w:spacing w:line="360" w:lineRule="exact"/>
              <w:jc w:val="center"/>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35.25 sen</w:t>
            </w:r>
          </w:p>
        </w:tc>
        <w:tc>
          <w:tcPr>
            <w:tcW w:w="1984" w:type="dxa"/>
          </w:tcPr>
          <w:p w:rsidR="00643010" w:rsidRPr="002F7F8E" w:rsidRDefault="00914D6A" w:rsidP="004E63DE">
            <w:pPr>
              <w:spacing w:line="360" w:lineRule="exact"/>
              <w:jc w:val="center"/>
              <w:rPr>
                <w:rFonts w:ascii="Tahoma" w:hAnsi="Tahoma" w:cs="Tahoma"/>
                <w:snapToGrid w:val="0"/>
                <w:color w:val="000000"/>
                <w:sz w:val="17"/>
                <w:szCs w:val="17"/>
                <w:lang w:val="en-US"/>
              </w:rPr>
            </w:pPr>
            <w:r w:rsidRPr="002F7F8E">
              <w:rPr>
                <w:rFonts w:ascii="Tahoma" w:hAnsi="Tahoma" w:cs="Tahoma"/>
                <w:snapToGrid w:val="0"/>
                <w:color w:val="000000"/>
                <w:sz w:val="17"/>
                <w:szCs w:val="17"/>
                <w:lang w:val="en-US"/>
              </w:rPr>
              <w:t>97.9</w:t>
            </w:r>
            <w:r w:rsidR="002F7F8E">
              <w:rPr>
                <w:rFonts w:ascii="Tahoma" w:hAnsi="Tahoma" w:cs="Tahoma"/>
                <w:snapToGrid w:val="0"/>
                <w:color w:val="000000"/>
                <w:sz w:val="17"/>
                <w:szCs w:val="17"/>
                <w:lang w:val="en-US"/>
              </w:rPr>
              <w:t>%</w:t>
            </w:r>
          </w:p>
        </w:tc>
      </w:tr>
    </w:tbl>
    <w:p w:rsidR="00B306D1" w:rsidRDefault="00B306D1" w:rsidP="00A36BED">
      <w:pPr>
        <w:rPr>
          <w:rFonts w:ascii="Tahoma" w:hAnsi="Tahoma" w:cs="Tahoma"/>
          <w:sz w:val="19"/>
          <w:szCs w:val="19"/>
        </w:rPr>
      </w:pPr>
    </w:p>
    <w:p w:rsidR="00C76AD6" w:rsidRDefault="00C76AD6" w:rsidP="00634CFC">
      <w:pPr>
        <w:jc w:val="both"/>
        <w:rPr>
          <w:rFonts w:ascii="Tahoma" w:hAnsi="Tahoma" w:cs="Tahoma"/>
          <w:sz w:val="19"/>
          <w:szCs w:val="19"/>
        </w:rPr>
      </w:pPr>
      <w:r>
        <w:rPr>
          <w:rFonts w:ascii="Tahoma" w:hAnsi="Tahoma" w:cs="Tahoma"/>
          <w:sz w:val="19"/>
          <w:szCs w:val="19"/>
        </w:rPr>
        <w:t>For the year ended 31 December 2014, t</w:t>
      </w:r>
      <w:r w:rsidR="009E1967">
        <w:rPr>
          <w:rFonts w:ascii="Tahoma" w:hAnsi="Tahoma" w:cs="Tahoma"/>
          <w:sz w:val="19"/>
          <w:szCs w:val="19"/>
        </w:rPr>
        <w:t>he Group</w:t>
      </w:r>
      <w:r>
        <w:rPr>
          <w:rFonts w:ascii="Tahoma" w:hAnsi="Tahoma" w:cs="Tahoma"/>
          <w:sz w:val="19"/>
          <w:szCs w:val="19"/>
        </w:rPr>
        <w:t xml:space="preserve"> has only </w:t>
      </w:r>
      <w:r w:rsidR="009E1967">
        <w:rPr>
          <w:rFonts w:ascii="Tahoma" w:hAnsi="Tahoma" w:cs="Tahoma"/>
          <w:sz w:val="19"/>
          <w:szCs w:val="19"/>
        </w:rPr>
        <w:t>achieve</w:t>
      </w:r>
      <w:r w:rsidR="0080442A">
        <w:rPr>
          <w:rFonts w:ascii="Tahoma" w:hAnsi="Tahoma" w:cs="Tahoma"/>
          <w:sz w:val="19"/>
          <w:szCs w:val="19"/>
        </w:rPr>
        <w:t>d</w:t>
      </w:r>
      <w:r w:rsidR="009E1967">
        <w:rPr>
          <w:rFonts w:ascii="Tahoma" w:hAnsi="Tahoma" w:cs="Tahoma"/>
          <w:sz w:val="19"/>
          <w:szCs w:val="19"/>
        </w:rPr>
        <w:t xml:space="preserve"> its</w:t>
      </w:r>
      <w:r w:rsidR="001535DE">
        <w:rPr>
          <w:rFonts w:ascii="Tahoma" w:hAnsi="Tahoma" w:cs="Tahoma"/>
          <w:sz w:val="19"/>
          <w:szCs w:val="19"/>
        </w:rPr>
        <w:t xml:space="preserve"> </w:t>
      </w:r>
      <w:r w:rsidR="002F7F8E">
        <w:rPr>
          <w:rFonts w:ascii="Tahoma" w:hAnsi="Tahoma" w:cs="Tahoma"/>
          <w:sz w:val="19"/>
          <w:szCs w:val="19"/>
        </w:rPr>
        <w:t>Headline</w:t>
      </w:r>
      <w:r w:rsidR="009E1967">
        <w:rPr>
          <w:rFonts w:ascii="Tahoma" w:hAnsi="Tahoma" w:cs="Tahoma"/>
          <w:sz w:val="19"/>
          <w:szCs w:val="19"/>
        </w:rPr>
        <w:t xml:space="preserve"> KPIs</w:t>
      </w:r>
      <w:r w:rsidR="00F65A53">
        <w:rPr>
          <w:rFonts w:ascii="Tahoma" w:hAnsi="Tahoma" w:cs="Tahoma"/>
          <w:sz w:val="19"/>
          <w:szCs w:val="19"/>
        </w:rPr>
        <w:t xml:space="preserve"> on Gross Impaired Loan Ratio</w:t>
      </w:r>
      <w:r>
        <w:rPr>
          <w:rFonts w:ascii="Tahoma" w:hAnsi="Tahoma" w:cs="Tahoma"/>
          <w:sz w:val="19"/>
          <w:szCs w:val="19"/>
        </w:rPr>
        <w:t xml:space="preserve"> but not the KPIs on ROE, ROA and EPS. The Group reported a lower net profit for the year under review mainly due to the unbudgeted allowance for </w:t>
      </w:r>
      <w:r w:rsidR="00FD134D">
        <w:rPr>
          <w:rFonts w:ascii="Tahoma" w:hAnsi="Tahoma" w:cs="Tahoma"/>
          <w:sz w:val="19"/>
          <w:szCs w:val="19"/>
        </w:rPr>
        <w:t>losses on one ma</w:t>
      </w:r>
      <w:r>
        <w:rPr>
          <w:rFonts w:ascii="Tahoma" w:hAnsi="Tahoma" w:cs="Tahoma"/>
          <w:sz w:val="19"/>
          <w:szCs w:val="19"/>
        </w:rPr>
        <w:t>jor impaired loan account</w:t>
      </w:r>
      <w:r w:rsidR="00FD134D">
        <w:rPr>
          <w:rFonts w:ascii="Tahoma" w:hAnsi="Tahoma" w:cs="Tahoma"/>
          <w:sz w:val="19"/>
          <w:szCs w:val="19"/>
        </w:rPr>
        <w:t>, in</w:t>
      </w:r>
      <w:r>
        <w:rPr>
          <w:rFonts w:ascii="Tahoma" w:hAnsi="Tahoma" w:cs="Tahoma"/>
          <w:sz w:val="19"/>
          <w:szCs w:val="19"/>
        </w:rPr>
        <w:t xml:space="preserve">tegration costs incurred </w:t>
      </w:r>
      <w:r w:rsidR="00FD134D">
        <w:rPr>
          <w:rFonts w:ascii="Tahoma" w:hAnsi="Tahoma" w:cs="Tahoma"/>
          <w:sz w:val="19"/>
          <w:szCs w:val="19"/>
        </w:rPr>
        <w:t>in relation to</w:t>
      </w:r>
      <w:r>
        <w:rPr>
          <w:rFonts w:ascii="Tahoma" w:hAnsi="Tahoma" w:cs="Tahoma"/>
          <w:sz w:val="19"/>
          <w:szCs w:val="19"/>
        </w:rPr>
        <w:t xml:space="preserve"> the merger of the investment banking group as well as lower net interest income due to margin compression despite the</w:t>
      </w:r>
      <w:r w:rsidR="0030030D">
        <w:rPr>
          <w:rFonts w:ascii="Tahoma" w:hAnsi="Tahoma" w:cs="Tahoma"/>
          <w:sz w:val="19"/>
          <w:szCs w:val="19"/>
        </w:rPr>
        <w:t xml:space="preserve"> 9.6%</w:t>
      </w:r>
      <w:r w:rsidR="00FD134D">
        <w:rPr>
          <w:rFonts w:ascii="Tahoma" w:hAnsi="Tahoma" w:cs="Tahoma"/>
          <w:sz w:val="19"/>
          <w:szCs w:val="19"/>
        </w:rPr>
        <w:t xml:space="preserve"> </w:t>
      </w:r>
      <w:r w:rsidR="003D5DE2">
        <w:rPr>
          <w:rFonts w:ascii="Tahoma" w:hAnsi="Tahoma" w:cs="Tahoma"/>
          <w:sz w:val="19"/>
          <w:szCs w:val="19"/>
        </w:rPr>
        <w:t>increase in loan base during the year</w:t>
      </w:r>
      <w:r w:rsidR="00FD134D">
        <w:rPr>
          <w:rFonts w:ascii="Tahoma" w:hAnsi="Tahoma" w:cs="Tahoma"/>
          <w:sz w:val="19"/>
          <w:szCs w:val="19"/>
        </w:rPr>
        <w:t>.</w:t>
      </w:r>
    </w:p>
    <w:p w:rsidR="009E1967" w:rsidRDefault="00C76AD6" w:rsidP="00634CFC">
      <w:pPr>
        <w:jc w:val="both"/>
        <w:rPr>
          <w:rFonts w:ascii="Tahoma" w:hAnsi="Tahoma" w:cs="Tahoma"/>
          <w:sz w:val="19"/>
          <w:szCs w:val="19"/>
        </w:rPr>
      </w:pPr>
      <w:r>
        <w:rPr>
          <w:rFonts w:ascii="Tahoma" w:hAnsi="Tahoma" w:cs="Tahoma"/>
          <w:sz w:val="19"/>
          <w:szCs w:val="19"/>
        </w:rPr>
        <w:t xml:space="preserve"> </w:t>
      </w:r>
    </w:p>
    <w:p w:rsidR="00A36BED" w:rsidRPr="00A36BED" w:rsidRDefault="00A36BED" w:rsidP="00A36BED">
      <w:pPr>
        <w:rPr>
          <w:rFonts w:ascii="Tahoma" w:hAnsi="Tahoma" w:cs="Tahoma"/>
          <w:sz w:val="19"/>
          <w:szCs w:val="19"/>
          <w:u w:val="single"/>
        </w:rPr>
      </w:pPr>
      <w:r w:rsidRPr="00A36BED">
        <w:rPr>
          <w:rFonts w:ascii="Tahoma" w:hAnsi="Tahoma" w:cs="Tahoma"/>
          <w:sz w:val="19"/>
          <w:szCs w:val="19"/>
          <w:u w:val="single"/>
        </w:rPr>
        <w:t xml:space="preserve">Headline </w:t>
      </w:r>
      <w:r>
        <w:rPr>
          <w:rFonts w:ascii="Tahoma" w:hAnsi="Tahoma" w:cs="Tahoma"/>
          <w:sz w:val="19"/>
          <w:szCs w:val="19"/>
          <w:u w:val="single"/>
        </w:rPr>
        <w:t>KPIs for the year ending</w:t>
      </w:r>
      <w:r w:rsidRPr="00A36BED">
        <w:rPr>
          <w:rFonts w:ascii="Tahoma" w:hAnsi="Tahoma" w:cs="Tahoma"/>
          <w:sz w:val="19"/>
          <w:szCs w:val="19"/>
          <w:u w:val="single"/>
        </w:rPr>
        <w:t xml:space="preserve"> 31 December 201</w:t>
      </w:r>
      <w:r w:rsidR="00643010">
        <w:rPr>
          <w:rFonts w:ascii="Tahoma" w:hAnsi="Tahoma" w:cs="Tahoma"/>
          <w:sz w:val="19"/>
          <w:szCs w:val="19"/>
          <w:u w:val="single"/>
        </w:rPr>
        <w:t>5</w:t>
      </w:r>
    </w:p>
    <w:p w:rsidR="00A36BED" w:rsidRPr="00A36BED" w:rsidRDefault="00A36BED" w:rsidP="00A36BED">
      <w:pPr>
        <w:spacing w:line="240" w:lineRule="atLeast"/>
        <w:ind w:left="720"/>
        <w:jc w:val="both"/>
        <w:rPr>
          <w:rFonts w:ascii="Tahoma" w:hAnsi="Tahoma" w:cs="Tahoma"/>
          <w:sz w:val="19"/>
          <w:szCs w:val="19"/>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024"/>
        <w:gridCol w:w="3420"/>
      </w:tblGrid>
      <w:tr w:rsidR="00A36BED" w:rsidRPr="00B306D1" w:rsidTr="00424104">
        <w:trPr>
          <w:trHeight w:val="516"/>
        </w:trPr>
        <w:tc>
          <w:tcPr>
            <w:tcW w:w="566" w:type="dxa"/>
            <w:shd w:val="clear" w:color="auto" w:fill="BFBFBF" w:themeFill="background1" w:themeFillShade="BF"/>
            <w:vAlign w:val="center"/>
          </w:tcPr>
          <w:p w:rsidR="00A36BED" w:rsidRPr="00B306D1" w:rsidRDefault="00A36BED" w:rsidP="00B306D1">
            <w:pPr>
              <w:spacing w:line="240" w:lineRule="atLeast"/>
              <w:jc w:val="center"/>
              <w:rPr>
                <w:rFonts w:ascii="Tahoma" w:hAnsi="Tahoma" w:cs="Tahoma"/>
                <w:snapToGrid w:val="0"/>
                <w:color w:val="000000"/>
                <w:sz w:val="18"/>
                <w:szCs w:val="18"/>
                <w:lang w:val="en-US"/>
              </w:rPr>
            </w:pPr>
          </w:p>
        </w:tc>
        <w:tc>
          <w:tcPr>
            <w:tcW w:w="4024" w:type="dxa"/>
            <w:shd w:val="clear" w:color="auto" w:fill="BFBFBF" w:themeFill="background1" w:themeFillShade="BF"/>
            <w:vAlign w:val="center"/>
          </w:tcPr>
          <w:p w:rsidR="00A36BED" w:rsidRPr="002F7F8E" w:rsidRDefault="00A36BED" w:rsidP="002C2682">
            <w:pPr>
              <w:spacing w:line="240" w:lineRule="atLeast"/>
              <w:jc w:val="center"/>
              <w:rPr>
                <w:rFonts w:ascii="Tahoma" w:hAnsi="Tahoma" w:cs="Tahoma"/>
                <w:b/>
                <w:snapToGrid w:val="0"/>
                <w:color w:val="000000"/>
                <w:sz w:val="17"/>
                <w:szCs w:val="17"/>
                <w:lang w:val="en-US"/>
              </w:rPr>
            </w:pPr>
            <w:r w:rsidRPr="002F7F8E">
              <w:rPr>
                <w:rFonts w:ascii="Tahoma" w:hAnsi="Tahoma" w:cs="Tahoma"/>
                <w:b/>
                <w:snapToGrid w:val="0"/>
                <w:color w:val="000000"/>
                <w:sz w:val="17"/>
                <w:szCs w:val="17"/>
                <w:lang w:val="en-US"/>
              </w:rPr>
              <w:t>Headline KPIs for 201</w:t>
            </w:r>
            <w:r w:rsidR="002C2682" w:rsidRPr="002F7F8E">
              <w:rPr>
                <w:rFonts w:ascii="Tahoma" w:hAnsi="Tahoma" w:cs="Tahoma"/>
                <w:b/>
                <w:snapToGrid w:val="0"/>
                <w:color w:val="000000"/>
                <w:sz w:val="17"/>
                <w:szCs w:val="17"/>
                <w:lang w:val="en-US"/>
              </w:rPr>
              <w:t>5</w:t>
            </w:r>
          </w:p>
        </w:tc>
        <w:tc>
          <w:tcPr>
            <w:tcW w:w="3420" w:type="dxa"/>
            <w:shd w:val="clear" w:color="auto" w:fill="BFBFBF" w:themeFill="background1" w:themeFillShade="BF"/>
            <w:vAlign w:val="center"/>
          </w:tcPr>
          <w:p w:rsidR="00A36BED" w:rsidRPr="00B306D1" w:rsidRDefault="00A36BED" w:rsidP="00B306D1">
            <w:pPr>
              <w:spacing w:line="240" w:lineRule="atLeast"/>
              <w:jc w:val="center"/>
              <w:rPr>
                <w:rFonts w:ascii="Tahoma" w:hAnsi="Tahoma" w:cs="Tahoma"/>
                <w:b/>
                <w:snapToGrid w:val="0"/>
                <w:color w:val="000000"/>
                <w:sz w:val="18"/>
                <w:szCs w:val="18"/>
                <w:lang w:val="en-US"/>
              </w:rPr>
            </w:pPr>
          </w:p>
        </w:tc>
      </w:tr>
      <w:tr w:rsidR="00A36BED" w:rsidRPr="00B306D1" w:rsidTr="00424104">
        <w:tc>
          <w:tcPr>
            <w:tcW w:w="566" w:type="dxa"/>
            <w:vAlign w:val="center"/>
          </w:tcPr>
          <w:p w:rsidR="00A36BED" w:rsidRPr="00B306D1" w:rsidRDefault="00A36BED" w:rsidP="00B306D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1.</w:t>
            </w:r>
          </w:p>
        </w:tc>
        <w:tc>
          <w:tcPr>
            <w:tcW w:w="4024" w:type="dxa"/>
            <w:vAlign w:val="center"/>
          </w:tcPr>
          <w:p w:rsidR="00A36BED" w:rsidRPr="00B306D1" w:rsidRDefault="00A36BED" w:rsidP="00B306D1">
            <w:pPr>
              <w:spacing w:line="360" w:lineRule="exact"/>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After Tax Return on Equity (ROE)</w:t>
            </w:r>
          </w:p>
        </w:tc>
        <w:tc>
          <w:tcPr>
            <w:tcW w:w="3420" w:type="dxa"/>
            <w:vAlign w:val="center"/>
          </w:tcPr>
          <w:p w:rsidR="00A36BED" w:rsidRPr="00B306D1" w:rsidRDefault="00FD134D" w:rsidP="00424104">
            <w:pPr>
              <w:spacing w:line="360" w:lineRule="exact"/>
              <w:jc w:val="center"/>
              <w:rPr>
                <w:rFonts w:ascii="Tahoma" w:hAnsi="Tahoma" w:cs="Tahoma"/>
                <w:snapToGrid w:val="0"/>
                <w:color w:val="000000"/>
                <w:sz w:val="18"/>
                <w:szCs w:val="18"/>
                <w:lang w:val="en-US"/>
              </w:rPr>
            </w:pPr>
            <w:r>
              <w:rPr>
                <w:rFonts w:ascii="Tahoma" w:hAnsi="Tahoma" w:cs="Tahoma"/>
                <w:snapToGrid w:val="0"/>
                <w:color w:val="000000"/>
                <w:sz w:val="18"/>
                <w:szCs w:val="18"/>
                <w:lang w:val="en-US"/>
              </w:rPr>
              <w:t>8.0</w:t>
            </w:r>
            <w:r w:rsidR="007D334B">
              <w:rPr>
                <w:rFonts w:ascii="Tahoma" w:hAnsi="Tahoma" w:cs="Tahoma"/>
                <w:snapToGrid w:val="0"/>
                <w:color w:val="000000"/>
                <w:sz w:val="18"/>
                <w:szCs w:val="18"/>
                <w:lang w:val="en-US"/>
              </w:rPr>
              <w:t>%</w:t>
            </w:r>
          </w:p>
        </w:tc>
      </w:tr>
      <w:tr w:rsidR="00A36BED" w:rsidRPr="00B306D1" w:rsidTr="00424104">
        <w:tc>
          <w:tcPr>
            <w:tcW w:w="566" w:type="dxa"/>
            <w:vAlign w:val="center"/>
          </w:tcPr>
          <w:p w:rsidR="00A36BED" w:rsidRPr="00B306D1" w:rsidRDefault="00A36BED" w:rsidP="00B306D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2.</w:t>
            </w:r>
          </w:p>
        </w:tc>
        <w:tc>
          <w:tcPr>
            <w:tcW w:w="4024" w:type="dxa"/>
            <w:vAlign w:val="center"/>
          </w:tcPr>
          <w:p w:rsidR="00A36BED" w:rsidRPr="00B306D1" w:rsidRDefault="00A36BED" w:rsidP="00B306D1">
            <w:pPr>
              <w:spacing w:line="360" w:lineRule="exact"/>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After Tax Return on Assets (ROA)</w:t>
            </w:r>
          </w:p>
        </w:tc>
        <w:tc>
          <w:tcPr>
            <w:tcW w:w="3420" w:type="dxa"/>
            <w:vAlign w:val="center"/>
          </w:tcPr>
          <w:p w:rsidR="00A36BED" w:rsidRPr="00B306D1" w:rsidRDefault="007D334B" w:rsidP="00B306D1">
            <w:pPr>
              <w:spacing w:line="360" w:lineRule="exact"/>
              <w:jc w:val="center"/>
              <w:rPr>
                <w:rFonts w:ascii="Tahoma" w:hAnsi="Tahoma" w:cs="Tahoma"/>
                <w:snapToGrid w:val="0"/>
                <w:color w:val="000000"/>
                <w:sz w:val="18"/>
                <w:szCs w:val="18"/>
                <w:lang w:val="en-US"/>
              </w:rPr>
            </w:pPr>
            <w:r>
              <w:rPr>
                <w:rFonts w:ascii="Tahoma" w:hAnsi="Tahoma" w:cs="Tahoma"/>
                <w:snapToGrid w:val="0"/>
                <w:color w:val="000000"/>
                <w:sz w:val="18"/>
                <w:szCs w:val="18"/>
                <w:lang w:val="en-US"/>
              </w:rPr>
              <w:t>0.9%</w:t>
            </w:r>
          </w:p>
        </w:tc>
      </w:tr>
      <w:tr w:rsidR="00A36BED" w:rsidRPr="00B306D1" w:rsidTr="00424104">
        <w:tc>
          <w:tcPr>
            <w:tcW w:w="566" w:type="dxa"/>
            <w:vAlign w:val="center"/>
          </w:tcPr>
          <w:p w:rsidR="00A36BED" w:rsidRPr="00B306D1" w:rsidRDefault="00A36BED" w:rsidP="00B306D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3.</w:t>
            </w:r>
          </w:p>
        </w:tc>
        <w:tc>
          <w:tcPr>
            <w:tcW w:w="4024" w:type="dxa"/>
            <w:vAlign w:val="center"/>
          </w:tcPr>
          <w:p w:rsidR="00A36BED" w:rsidRPr="00B306D1" w:rsidRDefault="00A36BED" w:rsidP="00B306D1">
            <w:pPr>
              <w:spacing w:line="360" w:lineRule="exact"/>
              <w:rPr>
                <w:rFonts w:ascii="Tahoma" w:hAnsi="Tahoma" w:cs="Tahoma"/>
                <w:snapToGrid w:val="0"/>
                <w:color w:val="000000"/>
                <w:sz w:val="18"/>
                <w:szCs w:val="18"/>
                <w:lang w:val="en-US"/>
              </w:rPr>
            </w:pPr>
            <w:r w:rsidRPr="00B306D1">
              <w:rPr>
                <w:rFonts w:ascii="Tahoma" w:hAnsi="Tahoma" w:cs="Tahoma"/>
                <w:sz w:val="18"/>
                <w:szCs w:val="18"/>
              </w:rPr>
              <w:t>Gross Impaired Loan Ratio</w:t>
            </w:r>
          </w:p>
        </w:tc>
        <w:tc>
          <w:tcPr>
            <w:tcW w:w="3420" w:type="dxa"/>
            <w:vAlign w:val="center"/>
          </w:tcPr>
          <w:p w:rsidR="00A36BED" w:rsidRPr="00B306D1" w:rsidRDefault="007D334B" w:rsidP="00B306D1">
            <w:pPr>
              <w:spacing w:line="360" w:lineRule="exact"/>
              <w:jc w:val="center"/>
              <w:rPr>
                <w:rFonts w:ascii="Tahoma" w:hAnsi="Tahoma" w:cs="Tahoma"/>
                <w:snapToGrid w:val="0"/>
                <w:color w:val="000000"/>
                <w:sz w:val="18"/>
                <w:szCs w:val="18"/>
                <w:lang w:val="en-US"/>
              </w:rPr>
            </w:pPr>
            <w:r>
              <w:rPr>
                <w:rFonts w:ascii="Tahoma" w:hAnsi="Tahoma" w:cs="Tahoma"/>
                <w:snapToGrid w:val="0"/>
                <w:color w:val="000000"/>
                <w:sz w:val="18"/>
                <w:szCs w:val="18"/>
                <w:lang w:val="en-US"/>
              </w:rPr>
              <w:t>1.64</w:t>
            </w:r>
            <w:r w:rsidR="00A572FB">
              <w:rPr>
                <w:rFonts w:ascii="Tahoma" w:hAnsi="Tahoma" w:cs="Tahoma"/>
                <w:snapToGrid w:val="0"/>
                <w:color w:val="000000"/>
                <w:sz w:val="18"/>
                <w:szCs w:val="18"/>
                <w:lang w:val="en-US"/>
              </w:rPr>
              <w:t>%</w:t>
            </w:r>
          </w:p>
        </w:tc>
      </w:tr>
      <w:tr w:rsidR="00A36BED" w:rsidRPr="00B306D1" w:rsidTr="00424104">
        <w:trPr>
          <w:trHeight w:val="423"/>
        </w:trPr>
        <w:tc>
          <w:tcPr>
            <w:tcW w:w="566" w:type="dxa"/>
            <w:vAlign w:val="center"/>
          </w:tcPr>
          <w:p w:rsidR="00A36BED" w:rsidRPr="00B306D1" w:rsidRDefault="00A36BED" w:rsidP="00B306D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4.</w:t>
            </w:r>
          </w:p>
        </w:tc>
        <w:tc>
          <w:tcPr>
            <w:tcW w:w="4024" w:type="dxa"/>
            <w:vAlign w:val="center"/>
          </w:tcPr>
          <w:p w:rsidR="00A36BED" w:rsidRPr="00B306D1" w:rsidRDefault="00A36BED" w:rsidP="00B306D1">
            <w:pPr>
              <w:spacing w:line="360" w:lineRule="exact"/>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Earnings Per Share (EPS)</w:t>
            </w:r>
          </w:p>
        </w:tc>
        <w:tc>
          <w:tcPr>
            <w:tcW w:w="3420" w:type="dxa"/>
            <w:vAlign w:val="center"/>
          </w:tcPr>
          <w:p w:rsidR="00A36BED" w:rsidRPr="00B306D1" w:rsidRDefault="00FD134D" w:rsidP="00FD134D">
            <w:pPr>
              <w:spacing w:line="360" w:lineRule="exact"/>
              <w:jc w:val="center"/>
              <w:rPr>
                <w:rFonts w:ascii="Tahoma" w:hAnsi="Tahoma" w:cs="Tahoma"/>
                <w:snapToGrid w:val="0"/>
                <w:color w:val="000000"/>
                <w:sz w:val="18"/>
                <w:szCs w:val="18"/>
                <w:lang w:val="en-US"/>
              </w:rPr>
            </w:pPr>
            <w:r>
              <w:rPr>
                <w:rFonts w:ascii="Tahoma" w:hAnsi="Tahoma" w:cs="Tahoma"/>
                <w:snapToGrid w:val="0"/>
                <w:color w:val="000000"/>
                <w:sz w:val="18"/>
                <w:szCs w:val="18"/>
                <w:lang w:val="en-US"/>
              </w:rPr>
              <w:t>33.</w:t>
            </w:r>
            <w:r w:rsidR="00D37501">
              <w:rPr>
                <w:rFonts w:ascii="Tahoma" w:hAnsi="Tahoma" w:cs="Tahoma"/>
                <w:snapToGrid w:val="0"/>
                <w:color w:val="000000"/>
                <w:sz w:val="18"/>
                <w:szCs w:val="18"/>
                <w:lang w:val="en-US"/>
              </w:rPr>
              <w:t>0</w:t>
            </w:r>
            <w:r>
              <w:rPr>
                <w:rFonts w:ascii="Tahoma" w:hAnsi="Tahoma" w:cs="Tahoma"/>
                <w:snapToGrid w:val="0"/>
                <w:color w:val="000000"/>
                <w:sz w:val="18"/>
                <w:szCs w:val="18"/>
                <w:lang w:val="en-US"/>
              </w:rPr>
              <w:t xml:space="preserve">0 </w:t>
            </w:r>
            <w:proofErr w:type="spellStart"/>
            <w:r>
              <w:rPr>
                <w:rFonts w:ascii="Tahoma" w:hAnsi="Tahoma" w:cs="Tahoma"/>
                <w:snapToGrid w:val="0"/>
                <w:color w:val="000000"/>
                <w:sz w:val="18"/>
                <w:szCs w:val="18"/>
                <w:lang w:val="en-US"/>
              </w:rPr>
              <w:t>s</w:t>
            </w:r>
            <w:r w:rsidR="00F42DC3">
              <w:rPr>
                <w:rFonts w:ascii="Tahoma" w:hAnsi="Tahoma" w:cs="Tahoma"/>
                <w:snapToGrid w:val="0"/>
                <w:color w:val="000000"/>
                <w:sz w:val="18"/>
                <w:szCs w:val="18"/>
                <w:lang w:val="en-US"/>
              </w:rPr>
              <w:t>en</w:t>
            </w:r>
            <w:proofErr w:type="spellEnd"/>
          </w:p>
        </w:tc>
      </w:tr>
    </w:tbl>
    <w:p w:rsidR="008A062F" w:rsidRPr="00A36BED" w:rsidRDefault="008A062F" w:rsidP="009C0C10">
      <w:pPr>
        <w:pStyle w:val="BodyText"/>
        <w:spacing w:line="240" w:lineRule="exact"/>
        <w:rPr>
          <w:rFonts w:ascii="Tahoma" w:hAnsi="Tahoma" w:cs="Tahoma"/>
          <w:sz w:val="19"/>
          <w:szCs w:val="19"/>
        </w:rPr>
      </w:pPr>
    </w:p>
    <w:p w:rsidR="00CF07B7" w:rsidRPr="00A36BED" w:rsidRDefault="00CF07B7" w:rsidP="009C0C10">
      <w:pPr>
        <w:pStyle w:val="BodyText"/>
        <w:spacing w:line="280" w:lineRule="exact"/>
        <w:rPr>
          <w:rFonts w:ascii="Tahoma" w:hAnsi="Tahoma" w:cs="Tahoma"/>
          <w:sz w:val="19"/>
          <w:szCs w:val="19"/>
        </w:rPr>
      </w:pPr>
      <w:r w:rsidRPr="00A36BED">
        <w:rPr>
          <w:rFonts w:ascii="Tahoma" w:hAnsi="Tahoma" w:cs="Tahoma"/>
          <w:sz w:val="19"/>
          <w:szCs w:val="19"/>
        </w:rPr>
        <w:t xml:space="preserve">The </w:t>
      </w:r>
      <w:r w:rsidR="005E7276">
        <w:rPr>
          <w:rFonts w:ascii="Tahoma" w:hAnsi="Tahoma" w:cs="Tahoma"/>
          <w:sz w:val="19"/>
          <w:szCs w:val="19"/>
        </w:rPr>
        <w:t>H</w:t>
      </w:r>
      <w:r w:rsidRPr="00A36BED">
        <w:rPr>
          <w:rFonts w:ascii="Tahoma" w:hAnsi="Tahoma" w:cs="Tahoma"/>
          <w:sz w:val="19"/>
          <w:szCs w:val="19"/>
        </w:rPr>
        <w:t>eadline KPIs</w:t>
      </w:r>
      <w:r w:rsidR="002C2682">
        <w:rPr>
          <w:rFonts w:ascii="Tahoma" w:hAnsi="Tahoma" w:cs="Tahoma"/>
          <w:sz w:val="19"/>
          <w:szCs w:val="19"/>
        </w:rPr>
        <w:t xml:space="preserve"> for the financial year 2015</w:t>
      </w:r>
      <w:r w:rsidRPr="00A36BED">
        <w:rPr>
          <w:rFonts w:ascii="Tahoma" w:hAnsi="Tahoma" w:cs="Tahoma"/>
          <w:sz w:val="19"/>
          <w:szCs w:val="19"/>
        </w:rPr>
        <w:t xml:space="preserve"> have been agreed by the Board and management of the Company as part of the broader KPI framework that the Company has in place, as prescribed under the GLC Transformation program and is disclosed on a voluntary basis.</w:t>
      </w:r>
    </w:p>
    <w:p w:rsidR="00CF07B7" w:rsidRPr="00A36BED" w:rsidRDefault="00CF07B7" w:rsidP="009C0C10">
      <w:pPr>
        <w:spacing w:line="240" w:lineRule="exact"/>
        <w:jc w:val="both"/>
        <w:rPr>
          <w:rFonts w:ascii="Tahoma" w:hAnsi="Tahoma" w:cs="Tahoma"/>
          <w:snapToGrid w:val="0"/>
          <w:color w:val="000000"/>
          <w:sz w:val="19"/>
          <w:szCs w:val="19"/>
          <w:lang w:val="en-US" w:eastAsia="en-US"/>
        </w:rPr>
      </w:pPr>
    </w:p>
    <w:p w:rsidR="00807413" w:rsidRPr="00A36BED" w:rsidRDefault="005E7276" w:rsidP="009C0C10">
      <w:pPr>
        <w:spacing w:line="280" w:lineRule="exact"/>
        <w:jc w:val="both"/>
        <w:rPr>
          <w:rFonts w:ascii="Tahoma" w:hAnsi="Tahoma" w:cs="Tahoma"/>
          <w:snapToGrid w:val="0"/>
          <w:color w:val="000000"/>
          <w:sz w:val="19"/>
          <w:szCs w:val="19"/>
          <w:lang w:val="en-US" w:eastAsia="en-US"/>
        </w:rPr>
      </w:pPr>
      <w:r>
        <w:rPr>
          <w:rFonts w:ascii="Tahoma" w:hAnsi="Tahoma" w:cs="Tahoma"/>
          <w:snapToGrid w:val="0"/>
          <w:color w:val="000000"/>
          <w:sz w:val="19"/>
          <w:szCs w:val="19"/>
          <w:lang w:val="en-US" w:eastAsia="en-US"/>
        </w:rPr>
        <w:t>It should be noted that the H</w:t>
      </w:r>
      <w:r w:rsidR="00807413" w:rsidRPr="00A36BED">
        <w:rPr>
          <w:rFonts w:ascii="Tahoma" w:hAnsi="Tahoma" w:cs="Tahoma"/>
          <w:snapToGrid w:val="0"/>
          <w:color w:val="000000"/>
          <w:sz w:val="19"/>
          <w:szCs w:val="19"/>
          <w:lang w:val="en-US" w:eastAsia="en-US"/>
        </w:rPr>
        <w:t>eadline KPIs are targets or aspirations set by the Company as a transparent performa</w:t>
      </w:r>
      <w:r>
        <w:rPr>
          <w:rFonts w:ascii="Tahoma" w:hAnsi="Tahoma" w:cs="Tahoma"/>
          <w:snapToGrid w:val="0"/>
          <w:color w:val="000000"/>
          <w:sz w:val="19"/>
          <w:szCs w:val="19"/>
          <w:lang w:val="en-US" w:eastAsia="en-US"/>
        </w:rPr>
        <w:t>nce management practice. These H</w:t>
      </w:r>
      <w:r w:rsidR="00807413" w:rsidRPr="00A36BED">
        <w:rPr>
          <w:rFonts w:ascii="Tahoma" w:hAnsi="Tahoma" w:cs="Tahoma"/>
          <w:snapToGrid w:val="0"/>
          <w:color w:val="000000"/>
          <w:sz w:val="19"/>
          <w:szCs w:val="19"/>
          <w:lang w:val="en-US" w:eastAsia="en-US"/>
        </w:rPr>
        <w:t xml:space="preserve">eadline </w:t>
      </w:r>
      <w:r w:rsidR="000F5472" w:rsidRPr="00A36BED">
        <w:rPr>
          <w:rFonts w:ascii="Tahoma" w:hAnsi="Tahoma" w:cs="Tahoma"/>
          <w:snapToGrid w:val="0"/>
          <w:color w:val="000000"/>
          <w:sz w:val="19"/>
          <w:szCs w:val="19"/>
          <w:lang w:val="en-US" w:eastAsia="en-US"/>
        </w:rPr>
        <w:t xml:space="preserve">KPIs </w:t>
      </w:r>
      <w:r w:rsidR="00807413" w:rsidRPr="00A36BED">
        <w:rPr>
          <w:rFonts w:ascii="Tahoma" w:hAnsi="Tahoma" w:cs="Tahoma"/>
          <w:snapToGrid w:val="0"/>
          <w:color w:val="000000"/>
          <w:sz w:val="19"/>
          <w:szCs w:val="19"/>
          <w:lang w:val="en-US" w:eastAsia="en-US"/>
        </w:rPr>
        <w:t xml:space="preserve">shall not be construed as </w:t>
      </w:r>
      <w:r w:rsidR="00CF07B7" w:rsidRPr="00A36BED">
        <w:rPr>
          <w:rFonts w:ascii="Tahoma" w:hAnsi="Tahoma" w:cs="Tahoma"/>
          <w:snapToGrid w:val="0"/>
          <w:color w:val="000000"/>
          <w:sz w:val="19"/>
          <w:szCs w:val="19"/>
          <w:lang w:val="en-US" w:eastAsia="en-US"/>
        </w:rPr>
        <w:t>forecasts</w:t>
      </w:r>
      <w:r w:rsidR="00807413" w:rsidRPr="00A36BED">
        <w:rPr>
          <w:rFonts w:ascii="Tahoma" w:hAnsi="Tahoma" w:cs="Tahoma"/>
          <w:snapToGrid w:val="0"/>
          <w:color w:val="000000"/>
          <w:sz w:val="19"/>
          <w:szCs w:val="19"/>
          <w:lang w:val="en-US" w:eastAsia="en-US"/>
        </w:rPr>
        <w:t xml:space="preserve">, projections or estimates of the Company or representations of any future performance, occurrence </w:t>
      </w:r>
      <w:r>
        <w:rPr>
          <w:rFonts w:ascii="Tahoma" w:hAnsi="Tahoma" w:cs="Tahoma"/>
          <w:snapToGrid w:val="0"/>
          <w:color w:val="000000"/>
          <w:sz w:val="19"/>
          <w:szCs w:val="19"/>
          <w:lang w:val="en-US" w:eastAsia="en-US"/>
        </w:rPr>
        <w:t>or matter as the H</w:t>
      </w:r>
      <w:r w:rsidR="00807413" w:rsidRPr="00A36BED">
        <w:rPr>
          <w:rFonts w:ascii="Tahoma" w:hAnsi="Tahoma" w:cs="Tahoma"/>
          <w:snapToGrid w:val="0"/>
          <w:color w:val="000000"/>
          <w:sz w:val="19"/>
          <w:szCs w:val="19"/>
          <w:lang w:val="en-US" w:eastAsia="en-US"/>
        </w:rPr>
        <w:t>eadlines are merely a set of targets/aspirations of future performance aligned to the Company's strategy.</w:t>
      </w:r>
    </w:p>
    <w:p w:rsidR="00807413" w:rsidRPr="00A36BED" w:rsidRDefault="00807413" w:rsidP="009C0C10">
      <w:pPr>
        <w:spacing w:line="240" w:lineRule="exact"/>
        <w:jc w:val="both"/>
        <w:rPr>
          <w:rFonts w:ascii="Tahoma" w:hAnsi="Tahoma" w:cs="Tahoma"/>
          <w:snapToGrid w:val="0"/>
          <w:color w:val="000000"/>
          <w:sz w:val="19"/>
          <w:szCs w:val="19"/>
          <w:lang w:val="en-US" w:eastAsia="en-US"/>
        </w:rPr>
      </w:pPr>
    </w:p>
    <w:p w:rsidR="00807413" w:rsidRPr="00A36BED" w:rsidRDefault="00807413" w:rsidP="009C0C10">
      <w:pPr>
        <w:spacing w:line="280" w:lineRule="exact"/>
        <w:jc w:val="both"/>
        <w:rPr>
          <w:rFonts w:ascii="Tahoma" w:hAnsi="Tahoma" w:cs="Tahoma"/>
          <w:sz w:val="19"/>
          <w:szCs w:val="19"/>
        </w:rPr>
      </w:pPr>
      <w:r w:rsidRPr="00A36BED">
        <w:rPr>
          <w:rFonts w:ascii="Tahoma" w:hAnsi="Tahoma" w:cs="Tahoma"/>
          <w:sz w:val="19"/>
          <w:szCs w:val="19"/>
        </w:rPr>
        <w:t xml:space="preserve">The </w:t>
      </w:r>
      <w:r w:rsidR="005E7276">
        <w:rPr>
          <w:rFonts w:ascii="Tahoma" w:hAnsi="Tahoma" w:cs="Tahoma"/>
          <w:sz w:val="19"/>
          <w:szCs w:val="19"/>
        </w:rPr>
        <w:t>H</w:t>
      </w:r>
      <w:r w:rsidR="00CF07B7" w:rsidRPr="00A36BED">
        <w:rPr>
          <w:rFonts w:ascii="Tahoma" w:hAnsi="Tahoma" w:cs="Tahoma"/>
          <w:sz w:val="19"/>
          <w:szCs w:val="19"/>
        </w:rPr>
        <w:t xml:space="preserve">eadline </w:t>
      </w:r>
      <w:r w:rsidRPr="00A36BED">
        <w:rPr>
          <w:rFonts w:ascii="Tahoma" w:hAnsi="Tahoma" w:cs="Tahoma"/>
          <w:sz w:val="19"/>
          <w:szCs w:val="19"/>
        </w:rPr>
        <w:t>KPIs have been developed based on the Group’s strategic plan and on the assumption that there will be no significant changes in the prevailing economic and political conditions, present legislation and government regulations, that the business of the Group will continue to grow as projected and the amount of non-performing loans, provision for loan loss and financing and recoveries will not vary significantly from the amount projected.</w:t>
      </w:r>
    </w:p>
    <w:p w:rsidR="00807413" w:rsidRPr="00A36BED" w:rsidRDefault="00807413" w:rsidP="00F75392">
      <w:pPr>
        <w:jc w:val="both"/>
        <w:rPr>
          <w:rFonts w:ascii="Tahoma" w:hAnsi="Tahoma" w:cs="Tahoma"/>
          <w:sz w:val="19"/>
          <w:szCs w:val="19"/>
        </w:rPr>
      </w:pPr>
    </w:p>
    <w:p w:rsidR="000F5472" w:rsidRPr="00A36BED" w:rsidRDefault="000F5472" w:rsidP="00F75392">
      <w:pPr>
        <w:jc w:val="both"/>
        <w:rPr>
          <w:rFonts w:ascii="Tahoma" w:hAnsi="Tahoma" w:cs="Tahoma"/>
          <w:sz w:val="19"/>
          <w:szCs w:val="19"/>
        </w:rPr>
      </w:pPr>
    </w:p>
    <w:p w:rsidR="00807413" w:rsidRPr="00A36BED" w:rsidRDefault="00CF07B7" w:rsidP="00F75392">
      <w:pPr>
        <w:jc w:val="both"/>
        <w:rPr>
          <w:rFonts w:ascii="Tahoma" w:hAnsi="Tahoma" w:cs="Tahoma"/>
          <w:sz w:val="19"/>
          <w:szCs w:val="19"/>
        </w:rPr>
      </w:pPr>
      <w:r w:rsidRPr="00A36BED">
        <w:rPr>
          <w:rFonts w:ascii="Tahoma" w:hAnsi="Tahoma" w:cs="Tahoma"/>
          <w:sz w:val="19"/>
          <w:szCs w:val="19"/>
        </w:rPr>
        <w:t>Th</w:t>
      </w:r>
      <w:r w:rsidR="00DC36EB">
        <w:rPr>
          <w:rFonts w:ascii="Tahoma" w:hAnsi="Tahoma" w:cs="Tahoma"/>
          <w:sz w:val="19"/>
          <w:szCs w:val="19"/>
        </w:rPr>
        <w:t>is</w:t>
      </w:r>
      <w:r w:rsidRPr="00A36BED">
        <w:rPr>
          <w:rFonts w:ascii="Tahoma" w:hAnsi="Tahoma" w:cs="Tahoma"/>
          <w:sz w:val="19"/>
          <w:szCs w:val="19"/>
        </w:rPr>
        <w:t xml:space="preserve"> announcement is dated </w:t>
      </w:r>
      <w:r w:rsidR="000D063C">
        <w:rPr>
          <w:rFonts w:ascii="Tahoma" w:hAnsi="Tahoma" w:cs="Tahoma"/>
          <w:sz w:val="19"/>
          <w:szCs w:val="19"/>
        </w:rPr>
        <w:t>26</w:t>
      </w:r>
      <w:r w:rsidR="00F57EFE">
        <w:rPr>
          <w:rFonts w:ascii="Tahoma" w:hAnsi="Tahoma" w:cs="Tahoma"/>
          <w:sz w:val="19"/>
          <w:szCs w:val="19"/>
        </w:rPr>
        <w:t xml:space="preserve"> </w:t>
      </w:r>
      <w:r w:rsidR="006E67C1" w:rsidRPr="00A36BED">
        <w:rPr>
          <w:rFonts w:ascii="Tahoma" w:hAnsi="Tahoma" w:cs="Tahoma"/>
          <w:sz w:val="19"/>
          <w:szCs w:val="19"/>
        </w:rPr>
        <w:t>February</w:t>
      </w:r>
      <w:r w:rsidR="00A36BED" w:rsidRPr="00A36BED">
        <w:rPr>
          <w:rFonts w:ascii="Tahoma" w:hAnsi="Tahoma" w:cs="Tahoma"/>
          <w:sz w:val="19"/>
          <w:szCs w:val="19"/>
        </w:rPr>
        <w:t xml:space="preserve"> 201</w:t>
      </w:r>
      <w:r w:rsidR="002C2682">
        <w:rPr>
          <w:rFonts w:ascii="Tahoma" w:hAnsi="Tahoma" w:cs="Tahoma"/>
          <w:sz w:val="19"/>
          <w:szCs w:val="19"/>
        </w:rPr>
        <w:t>5</w:t>
      </w:r>
      <w:r w:rsidRPr="00A36BED">
        <w:rPr>
          <w:rFonts w:ascii="Tahoma" w:hAnsi="Tahoma" w:cs="Tahoma"/>
          <w:sz w:val="19"/>
          <w:szCs w:val="19"/>
        </w:rPr>
        <w:t>.</w:t>
      </w:r>
    </w:p>
    <w:sectPr w:rsidR="00807413" w:rsidRPr="00A36BED" w:rsidSect="00F81A91">
      <w:pgSz w:w="11906" w:h="16838"/>
      <w:pgMar w:top="584" w:right="1440" w:bottom="90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C9" w:rsidRDefault="00CF18C9">
      <w:r>
        <w:separator/>
      </w:r>
    </w:p>
  </w:endnote>
  <w:endnote w:type="continuationSeparator" w:id="0">
    <w:p w:rsidR="00CF18C9" w:rsidRDefault="00CF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C9" w:rsidRDefault="00CF18C9">
      <w:r>
        <w:separator/>
      </w:r>
    </w:p>
  </w:footnote>
  <w:footnote w:type="continuationSeparator" w:id="0">
    <w:p w:rsidR="00CF18C9" w:rsidRDefault="00CF1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A04"/>
    <w:multiLevelType w:val="hybridMultilevel"/>
    <w:tmpl w:val="A0EABFA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
    <w:nsid w:val="0C1948F0"/>
    <w:multiLevelType w:val="hybridMultilevel"/>
    <w:tmpl w:val="CA50E808"/>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2">
    <w:nsid w:val="0D6332B2"/>
    <w:multiLevelType w:val="hybridMultilevel"/>
    <w:tmpl w:val="05CCE068"/>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3">
    <w:nsid w:val="0E754EB8"/>
    <w:multiLevelType w:val="hybridMultilevel"/>
    <w:tmpl w:val="79DC8AE6"/>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4">
    <w:nsid w:val="11B57E81"/>
    <w:multiLevelType w:val="hybridMultilevel"/>
    <w:tmpl w:val="247AD2DE"/>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5">
    <w:nsid w:val="144670B4"/>
    <w:multiLevelType w:val="hybridMultilevel"/>
    <w:tmpl w:val="E12ABA2C"/>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6">
    <w:nsid w:val="144D06FC"/>
    <w:multiLevelType w:val="hybridMultilevel"/>
    <w:tmpl w:val="5D24C040"/>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7">
    <w:nsid w:val="156B6700"/>
    <w:multiLevelType w:val="hybridMultilevel"/>
    <w:tmpl w:val="7D3C0536"/>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8">
    <w:nsid w:val="1968708F"/>
    <w:multiLevelType w:val="hybridMultilevel"/>
    <w:tmpl w:val="190C2D8E"/>
    <w:lvl w:ilvl="0" w:tplc="AF4ECD36">
      <w:start w:val="1"/>
      <w:numFmt w:val="lowerRoman"/>
      <w:lvlText w:val="(%1)"/>
      <w:lvlJc w:val="left"/>
      <w:pPr>
        <w:ind w:left="82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476961"/>
    <w:multiLevelType w:val="hybridMultilevel"/>
    <w:tmpl w:val="00AC338C"/>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10">
    <w:nsid w:val="229E3C2D"/>
    <w:multiLevelType w:val="hybridMultilevel"/>
    <w:tmpl w:val="4B3A5CB6"/>
    <w:lvl w:ilvl="0" w:tplc="DD046DF8">
      <w:start w:val="1"/>
      <w:numFmt w:val="lowerLetter"/>
      <w:lvlText w:val="%1)"/>
      <w:lvlJc w:val="left"/>
      <w:pPr>
        <w:ind w:left="1080" w:hanging="360"/>
      </w:pPr>
      <w:rPr>
        <w:b w:val="0"/>
        <w:bCs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C903EE"/>
    <w:multiLevelType w:val="hybridMultilevel"/>
    <w:tmpl w:val="8E584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04274"/>
    <w:multiLevelType w:val="hybridMultilevel"/>
    <w:tmpl w:val="36C240E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3">
    <w:nsid w:val="32E654C9"/>
    <w:multiLevelType w:val="multilevel"/>
    <w:tmpl w:val="82AED036"/>
    <w:lvl w:ilvl="0">
      <w:start w:val="2"/>
      <w:numFmt w:val="decimal"/>
      <w:lvlText w:val="%1.0"/>
      <w:lvlJc w:val="left"/>
      <w:pPr>
        <w:tabs>
          <w:tab w:val="num" w:pos="720"/>
        </w:tabs>
        <w:ind w:left="720" w:hanging="720"/>
      </w:pPr>
      <w:rPr>
        <w:rFonts w:ascii="Book Antiqua" w:hAnsi="Book Antiqua" w:cs="Book Antiqua" w:hint="default"/>
        <w:b/>
        <w:bCs/>
        <w:i w:val="0"/>
        <w:iCs w:val="0"/>
        <w:sz w:val="24"/>
        <w:szCs w:val="24"/>
      </w:rPr>
    </w:lvl>
    <w:lvl w:ilvl="1">
      <w:start w:val="1"/>
      <w:numFmt w:val="decimal"/>
      <w:lvlText w:val="%1.%2"/>
      <w:lvlJc w:val="left"/>
      <w:pPr>
        <w:tabs>
          <w:tab w:val="num" w:pos="1440"/>
        </w:tabs>
        <w:ind w:left="1440" w:hanging="720"/>
      </w:pPr>
      <w:rPr>
        <w:rFonts w:ascii="Book Antiqua" w:hAnsi="Book Antiqua" w:cs="Book Antiqua" w:hint="default"/>
        <w:b/>
        <w:bCs/>
        <w:i w:val="0"/>
        <w:iCs w:val="0"/>
        <w:sz w:val="22"/>
        <w:szCs w:val="22"/>
      </w:rPr>
    </w:lvl>
    <w:lvl w:ilvl="2">
      <w:start w:val="1"/>
      <w:numFmt w:val="decimal"/>
      <w:lvlText w:val="%1.%2.%3"/>
      <w:lvlJc w:val="left"/>
      <w:pPr>
        <w:tabs>
          <w:tab w:val="num" w:pos="2160"/>
        </w:tabs>
        <w:ind w:left="2160" w:hanging="720"/>
      </w:pPr>
      <w:rPr>
        <w:rFonts w:ascii="Book Antiqua" w:hAnsi="Book Antiqua" w:cs="Book Antiqua" w:hint="default"/>
        <w:b/>
        <w:bCs/>
        <w:i w:val="0"/>
        <w:iCs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6EF3F14"/>
    <w:multiLevelType w:val="hybridMultilevel"/>
    <w:tmpl w:val="49E66DFE"/>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15">
    <w:nsid w:val="399E3301"/>
    <w:multiLevelType w:val="hybridMultilevel"/>
    <w:tmpl w:val="F350DA2C"/>
    <w:lvl w:ilvl="0" w:tplc="C012FB74">
      <w:start w:val="6"/>
      <w:numFmt w:val="bullet"/>
      <w:lvlText w:val="-"/>
      <w:lvlJc w:val="left"/>
      <w:pPr>
        <w:ind w:left="720" w:hanging="360"/>
      </w:pPr>
      <w:rPr>
        <w:rFonts w:ascii="Arial" w:eastAsia="Times New Roman" w:hAnsi="Arial"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6">
    <w:nsid w:val="3CA70B97"/>
    <w:multiLevelType w:val="multilevel"/>
    <w:tmpl w:val="4C7EE088"/>
    <w:lvl w:ilvl="0">
      <w:start w:val="1"/>
      <w:numFmt w:val="decimal"/>
      <w:pStyle w:val="TOC3"/>
      <w:lvlText w:val="%1.0"/>
      <w:lvlJc w:val="left"/>
      <w:pPr>
        <w:tabs>
          <w:tab w:val="num" w:pos="1200"/>
        </w:tabs>
        <w:ind w:left="1200" w:hanging="720"/>
      </w:pPr>
      <w:rPr>
        <w:rFonts w:ascii="Book Antiqua" w:hAnsi="Book Antiqua" w:cs="Book Antiqua" w:hint="default"/>
        <w:b/>
        <w:bCs/>
        <w:i w:val="0"/>
        <w:iCs w:val="0"/>
        <w:sz w:val="24"/>
        <w:szCs w:val="24"/>
      </w:rPr>
    </w:lvl>
    <w:lvl w:ilvl="1">
      <w:start w:val="1"/>
      <w:numFmt w:val="decimal"/>
      <w:lvlText w:val="%1.%2"/>
      <w:lvlJc w:val="left"/>
      <w:pPr>
        <w:tabs>
          <w:tab w:val="num" w:pos="1920"/>
        </w:tabs>
        <w:ind w:left="1920" w:hanging="720"/>
      </w:pPr>
      <w:rPr>
        <w:rFonts w:ascii="Book Antiqua" w:hAnsi="Book Antiqua" w:cs="Book Antiqua" w:hint="default"/>
        <w:b/>
        <w:bCs/>
        <w:i w:val="0"/>
        <w:iCs w:val="0"/>
        <w:sz w:val="22"/>
        <w:szCs w:val="22"/>
      </w:rPr>
    </w:lvl>
    <w:lvl w:ilvl="2">
      <w:start w:val="1"/>
      <w:numFmt w:val="decimal"/>
      <w:lvlText w:val="%1.%2.%3"/>
      <w:lvlJc w:val="left"/>
      <w:pPr>
        <w:tabs>
          <w:tab w:val="num" w:pos="2640"/>
        </w:tabs>
        <w:ind w:left="264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160"/>
        </w:tabs>
        <w:ind w:left="5160" w:hanging="1080"/>
      </w:pPr>
      <w:rPr>
        <w:rFonts w:hint="default"/>
      </w:rPr>
    </w:lvl>
    <w:lvl w:ilvl="6">
      <w:start w:val="1"/>
      <w:numFmt w:val="decimal"/>
      <w:lvlText w:val="%1.%2.%3.%4.%5.%6.%7"/>
      <w:lvlJc w:val="left"/>
      <w:pPr>
        <w:tabs>
          <w:tab w:val="num" w:pos="6240"/>
        </w:tabs>
        <w:ind w:left="6240" w:hanging="1440"/>
      </w:pPr>
      <w:rPr>
        <w:rFonts w:hint="default"/>
      </w:rPr>
    </w:lvl>
    <w:lvl w:ilvl="7">
      <w:start w:val="1"/>
      <w:numFmt w:val="decimal"/>
      <w:lvlText w:val="%1.%2.%3.%4.%5.%6.%7.%8"/>
      <w:lvlJc w:val="left"/>
      <w:pPr>
        <w:tabs>
          <w:tab w:val="num" w:pos="6960"/>
        </w:tabs>
        <w:ind w:left="696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7">
    <w:nsid w:val="3E9E6658"/>
    <w:multiLevelType w:val="hybridMultilevel"/>
    <w:tmpl w:val="DCD2FF24"/>
    <w:lvl w:ilvl="0" w:tplc="1BAC190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53A1647"/>
    <w:multiLevelType w:val="hybridMultilevel"/>
    <w:tmpl w:val="A66C073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9">
    <w:nsid w:val="45620309"/>
    <w:multiLevelType w:val="multilevel"/>
    <w:tmpl w:val="89D08436"/>
    <w:lvl w:ilvl="0">
      <w:start w:val="1"/>
      <w:numFmt w:val="decimal"/>
      <w:pStyle w:val="TOC1"/>
      <w:lvlText w:val="%1.0"/>
      <w:lvlJc w:val="left"/>
      <w:pPr>
        <w:tabs>
          <w:tab w:val="num" w:pos="720"/>
        </w:tabs>
        <w:ind w:left="720" w:hanging="720"/>
      </w:pPr>
      <w:rPr>
        <w:rFonts w:ascii="Book Antiqua" w:hAnsi="Book Antiqua" w:cs="Book Antiqua" w:hint="default"/>
        <w:b/>
        <w:bCs/>
        <w:i w:val="0"/>
        <w:iCs w:val="0"/>
        <w:sz w:val="24"/>
        <w:szCs w:val="24"/>
      </w:rPr>
    </w:lvl>
    <w:lvl w:ilvl="1">
      <w:start w:val="1"/>
      <w:numFmt w:val="decimal"/>
      <w:lvlText w:val="%1.%2"/>
      <w:lvlJc w:val="left"/>
      <w:pPr>
        <w:tabs>
          <w:tab w:val="num" w:pos="1440"/>
        </w:tabs>
        <w:ind w:left="1440" w:hanging="720"/>
      </w:pPr>
      <w:rPr>
        <w:rFonts w:ascii="Book Antiqua" w:hAnsi="Book Antiqua" w:cs="Book Antiqua" w:hint="default"/>
        <w:b/>
        <w:bCs/>
        <w:i w:val="0"/>
        <w:iCs w:val="0"/>
        <w:sz w:val="22"/>
        <w:szCs w:val="22"/>
      </w:rPr>
    </w:lvl>
    <w:lvl w:ilvl="2">
      <w:start w:val="1"/>
      <w:numFmt w:val="decimal"/>
      <w:lvlText w:val="%1.%2.%3"/>
      <w:lvlJc w:val="left"/>
      <w:pPr>
        <w:tabs>
          <w:tab w:val="num" w:pos="2160"/>
        </w:tabs>
        <w:ind w:left="216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B885953"/>
    <w:multiLevelType w:val="hybridMultilevel"/>
    <w:tmpl w:val="087A8908"/>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1">
    <w:nsid w:val="51D10245"/>
    <w:multiLevelType w:val="hybridMultilevel"/>
    <w:tmpl w:val="5FE4047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2">
    <w:nsid w:val="523D3D21"/>
    <w:multiLevelType w:val="hybridMultilevel"/>
    <w:tmpl w:val="8ACC4530"/>
    <w:lvl w:ilvl="0" w:tplc="7E526DBE">
      <w:start w:val="2"/>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5736245"/>
    <w:multiLevelType w:val="hybridMultilevel"/>
    <w:tmpl w:val="3294A2B4"/>
    <w:lvl w:ilvl="0" w:tplc="49EA15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5AA33E4"/>
    <w:multiLevelType w:val="hybridMultilevel"/>
    <w:tmpl w:val="F1C479B8"/>
    <w:lvl w:ilvl="0" w:tplc="04E29758">
      <w:start w:val="2"/>
      <w:numFmt w:val="lowerLetter"/>
      <w:lvlText w:val="%1)"/>
      <w:lvlJc w:val="left"/>
      <w:pPr>
        <w:ind w:left="1080" w:hanging="360"/>
      </w:pPr>
      <w:rPr>
        <w:b w:val="0"/>
        <w:bCs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7104430"/>
    <w:multiLevelType w:val="hybridMultilevel"/>
    <w:tmpl w:val="DC22BB50"/>
    <w:lvl w:ilvl="0" w:tplc="F6244FD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E4E1622"/>
    <w:multiLevelType w:val="hybridMultilevel"/>
    <w:tmpl w:val="88EEB732"/>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27">
    <w:nsid w:val="69AA5DB8"/>
    <w:multiLevelType w:val="hybridMultilevel"/>
    <w:tmpl w:val="A59609C8"/>
    <w:lvl w:ilvl="0" w:tplc="32265A6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BB600FF"/>
    <w:multiLevelType w:val="hybridMultilevel"/>
    <w:tmpl w:val="176292D8"/>
    <w:lvl w:ilvl="0" w:tplc="EA345C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0221662"/>
    <w:multiLevelType w:val="hybridMultilevel"/>
    <w:tmpl w:val="BE9882B2"/>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30">
    <w:nsid w:val="72270409"/>
    <w:multiLevelType w:val="hybridMultilevel"/>
    <w:tmpl w:val="12C68B7A"/>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31">
    <w:nsid w:val="79366B99"/>
    <w:multiLevelType w:val="hybridMultilevel"/>
    <w:tmpl w:val="F5B6E5DC"/>
    <w:lvl w:ilvl="0" w:tplc="947CBD5C">
      <w:start w:val="1"/>
      <w:numFmt w:val="lowerRoman"/>
      <w:lvlText w:val="(%1)"/>
      <w:lvlJc w:val="left"/>
      <w:pPr>
        <w:ind w:left="82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CF23696"/>
    <w:multiLevelType w:val="multilevel"/>
    <w:tmpl w:val="B796A1DC"/>
    <w:lvl w:ilvl="0">
      <w:start w:val="1"/>
      <w:numFmt w:val="decimal"/>
      <w:pStyle w:val="TOC2"/>
      <w:lvlText w:val="%1.0"/>
      <w:lvlJc w:val="left"/>
      <w:pPr>
        <w:tabs>
          <w:tab w:val="num" w:pos="960"/>
        </w:tabs>
        <w:ind w:left="960" w:hanging="720"/>
      </w:pPr>
      <w:rPr>
        <w:rFonts w:ascii="Book Antiqua" w:hAnsi="Book Antiqua" w:cs="Book Antiqua" w:hint="default"/>
        <w:b/>
        <w:bCs/>
        <w:i w:val="0"/>
        <w:iCs w:val="0"/>
        <w:sz w:val="24"/>
        <w:szCs w:val="24"/>
      </w:rPr>
    </w:lvl>
    <w:lvl w:ilvl="1">
      <w:start w:val="1"/>
      <w:numFmt w:val="decimal"/>
      <w:lvlText w:val="%1.%2"/>
      <w:lvlJc w:val="left"/>
      <w:pPr>
        <w:tabs>
          <w:tab w:val="num" w:pos="1680"/>
        </w:tabs>
        <w:ind w:left="1680" w:hanging="720"/>
      </w:pPr>
      <w:rPr>
        <w:rFonts w:ascii="Book Antiqua" w:hAnsi="Book Antiqua" w:cs="Book Antiqua" w:hint="default"/>
        <w:b/>
        <w:bCs/>
        <w:i w:val="0"/>
        <w:iCs w:val="0"/>
        <w:sz w:val="22"/>
        <w:szCs w:val="22"/>
      </w:rPr>
    </w:lvl>
    <w:lvl w:ilvl="2">
      <w:start w:val="1"/>
      <w:numFmt w:val="decimal"/>
      <w:lvlText w:val="%1.%2.%3"/>
      <w:lvlJc w:val="left"/>
      <w:pPr>
        <w:tabs>
          <w:tab w:val="num" w:pos="2400"/>
        </w:tabs>
        <w:ind w:left="240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3120"/>
        </w:tabs>
        <w:ind w:left="312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20"/>
        </w:tabs>
        <w:ind w:left="4920" w:hanging="1080"/>
      </w:pPr>
      <w:rPr>
        <w:rFonts w:hint="default"/>
      </w:rPr>
    </w:lvl>
    <w:lvl w:ilvl="6">
      <w:start w:val="1"/>
      <w:numFmt w:val="decimal"/>
      <w:lvlText w:val="%1.%2.%3.%4.%5.%6.%7"/>
      <w:lvlJc w:val="left"/>
      <w:pPr>
        <w:tabs>
          <w:tab w:val="num" w:pos="6000"/>
        </w:tabs>
        <w:ind w:left="6000" w:hanging="1440"/>
      </w:pPr>
      <w:rPr>
        <w:rFonts w:hint="default"/>
      </w:rPr>
    </w:lvl>
    <w:lvl w:ilvl="7">
      <w:start w:val="1"/>
      <w:numFmt w:val="decimal"/>
      <w:lvlText w:val="%1.%2.%3.%4.%5.%6.%7.%8"/>
      <w:lvlJc w:val="left"/>
      <w:pPr>
        <w:tabs>
          <w:tab w:val="num" w:pos="6720"/>
        </w:tabs>
        <w:ind w:left="6720" w:hanging="1440"/>
      </w:pPr>
      <w:rPr>
        <w:rFonts w:hint="default"/>
      </w:rPr>
    </w:lvl>
    <w:lvl w:ilvl="8">
      <w:start w:val="1"/>
      <w:numFmt w:val="decimal"/>
      <w:lvlText w:val="%1.%2.%3.%4.%5.%6.%7.%8.%9"/>
      <w:lvlJc w:val="left"/>
      <w:pPr>
        <w:tabs>
          <w:tab w:val="num" w:pos="7800"/>
        </w:tabs>
        <w:ind w:left="7800" w:hanging="1800"/>
      </w:pPr>
      <w:rPr>
        <w:rFonts w:hint="default"/>
      </w:rPr>
    </w:lvl>
  </w:abstractNum>
  <w:num w:numId="1">
    <w:abstractNumId w:val="19"/>
  </w:num>
  <w:num w:numId="2">
    <w:abstractNumId w:val="32"/>
  </w:num>
  <w:num w:numId="3">
    <w:abstractNumId w:val="16"/>
  </w:num>
  <w:num w:numId="4">
    <w:abstractNumId w:val="13"/>
  </w:num>
  <w:num w:numId="5">
    <w:abstractNumId w:val="22"/>
  </w:num>
  <w:num w:numId="6">
    <w:abstractNumId w:val="28"/>
  </w:num>
  <w:num w:numId="7">
    <w:abstractNumId w:val="27"/>
  </w:num>
  <w:num w:numId="8">
    <w:abstractNumId w:val="25"/>
  </w:num>
  <w:num w:numId="9">
    <w:abstractNumId w:val="17"/>
  </w:num>
  <w:num w:numId="10">
    <w:abstractNumId w:val="23"/>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14"/>
  </w:num>
  <w:num w:numId="19">
    <w:abstractNumId w:val="6"/>
  </w:num>
  <w:num w:numId="20">
    <w:abstractNumId w:val="0"/>
  </w:num>
  <w:num w:numId="21">
    <w:abstractNumId w:val="30"/>
  </w:num>
  <w:num w:numId="22">
    <w:abstractNumId w:val="12"/>
  </w:num>
  <w:num w:numId="23">
    <w:abstractNumId w:val="7"/>
  </w:num>
  <w:num w:numId="24">
    <w:abstractNumId w:val="5"/>
  </w:num>
  <w:num w:numId="25">
    <w:abstractNumId w:val="26"/>
  </w:num>
  <w:num w:numId="26">
    <w:abstractNumId w:val="21"/>
  </w:num>
  <w:num w:numId="27">
    <w:abstractNumId w:val="1"/>
  </w:num>
  <w:num w:numId="28">
    <w:abstractNumId w:val="2"/>
  </w:num>
  <w:num w:numId="29">
    <w:abstractNumId w:val="18"/>
  </w:num>
  <w:num w:numId="30">
    <w:abstractNumId w:val="3"/>
  </w:num>
  <w:num w:numId="31">
    <w:abstractNumId w:val="9"/>
  </w:num>
  <w:num w:numId="32">
    <w:abstractNumId w:val="2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4C"/>
    <w:rsid w:val="00006B40"/>
    <w:rsid w:val="00016AC7"/>
    <w:rsid w:val="00017F8C"/>
    <w:rsid w:val="00021821"/>
    <w:rsid w:val="00022EB7"/>
    <w:rsid w:val="0002776F"/>
    <w:rsid w:val="00031441"/>
    <w:rsid w:val="000402A5"/>
    <w:rsid w:val="00044024"/>
    <w:rsid w:val="00046632"/>
    <w:rsid w:val="00046CE6"/>
    <w:rsid w:val="000502E4"/>
    <w:rsid w:val="00050554"/>
    <w:rsid w:val="00051A2C"/>
    <w:rsid w:val="00053273"/>
    <w:rsid w:val="00054891"/>
    <w:rsid w:val="00067E02"/>
    <w:rsid w:val="000705C6"/>
    <w:rsid w:val="0007308D"/>
    <w:rsid w:val="000855BF"/>
    <w:rsid w:val="00094CC2"/>
    <w:rsid w:val="00096B01"/>
    <w:rsid w:val="000974F6"/>
    <w:rsid w:val="000A2CB4"/>
    <w:rsid w:val="000A351D"/>
    <w:rsid w:val="000A4115"/>
    <w:rsid w:val="000A64BB"/>
    <w:rsid w:val="000B1D72"/>
    <w:rsid w:val="000B5645"/>
    <w:rsid w:val="000B6A0B"/>
    <w:rsid w:val="000B75DE"/>
    <w:rsid w:val="000C09D0"/>
    <w:rsid w:val="000C0EFF"/>
    <w:rsid w:val="000C1F06"/>
    <w:rsid w:val="000C41A3"/>
    <w:rsid w:val="000C427B"/>
    <w:rsid w:val="000C491E"/>
    <w:rsid w:val="000C4AE8"/>
    <w:rsid w:val="000C514D"/>
    <w:rsid w:val="000D063C"/>
    <w:rsid w:val="000D21E2"/>
    <w:rsid w:val="000E2A83"/>
    <w:rsid w:val="000E3D09"/>
    <w:rsid w:val="000E7472"/>
    <w:rsid w:val="000F064C"/>
    <w:rsid w:val="000F1519"/>
    <w:rsid w:val="000F27F5"/>
    <w:rsid w:val="000F5472"/>
    <w:rsid w:val="00101E8B"/>
    <w:rsid w:val="001066DD"/>
    <w:rsid w:val="001149A0"/>
    <w:rsid w:val="0012280D"/>
    <w:rsid w:val="00127AA7"/>
    <w:rsid w:val="001330DD"/>
    <w:rsid w:val="00134090"/>
    <w:rsid w:val="0013489F"/>
    <w:rsid w:val="00135417"/>
    <w:rsid w:val="00140A81"/>
    <w:rsid w:val="001443FC"/>
    <w:rsid w:val="00144F51"/>
    <w:rsid w:val="00147577"/>
    <w:rsid w:val="001529C5"/>
    <w:rsid w:val="00153218"/>
    <w:rsid w:val="001535DE"/>
    <w:rsid w:val="001546EB"/>
    <w:rsid w:val="00161AD0"/>
    <w:rsid w:val="001803B5"/>
    <w:rsid w:val="00195078"/>
    <w:rsid w:val="0019522D"/>
    <w:rsid w:val="00195565"/>
    <w:rsid w:val="001B1AA9"/>
    <w:rsid w:val="001C4693"/>
    <w:rsid w:val="001C72C5"/>
    <w:rsid w:val="001D27D2"/>
    <w:rsid w:val="001D7DEE"/>
    <w:rsid w:val="001E0894"/>
    <w:rsid w:val="001F5EDD"/>
    <w:rsid w:val="00204AF4"/>
    <w:rsid w:val="0020768B"/>
    <w:rsid w:val="00214437"/>
    <w:rsid w:val="00216B46"/>
    <w:rsid w:val="0021717F"/>
    <w:rsid w:val="0022336E"/>
    <w:rsid w:val="002252AA"/>
    <w:rsid w:val="00226240"/>
    <w:rsid w:val="002273B8"/>
    <w:rsid w:val="00232E16"/>
    <w:rsid w:val="00234151"/>
    <w:rsid w:val="00235F92"/>
    <w:rsid w:val="0023688C"/>
    <w:rsid w:val="002378B6"/>
    <w:rsid w:val="00237F2B"/>
    <w:rsid w:val="00241F85"/>
    <w:rsid w:val="00244456"/>
    <w:rsid w:val="002459B1"/>
    <w:rsid w:val="00253406"/>
    <w:rsid w:val="002631DA"/>
    <w:rsid w:val="00267600"/>
    <w:rsid w:val="00267F7E"/>
    <w:rsid w:val="0027173B"/>
    <w:rsid w:val="00276453"/>
    <w:rsid w:val="0028233A"/>
    <w:rsid w:val="00284FF4"/>
    <w:rsid w:val="0028545C"/>
    <w:rsid w:val="00293F0C"/>
    <w:rsid w:val="002A53C1"/>
    <w:rsid w:val="002A5E38"/>
    <w:rsid w:val="002B3E86"/>
    <w:rsid w:val="002B78B0"/>
    <w:rsid w:val="002C2251"/>
    <w:rsid w:val="002C2682"/>
    <w:rsid w:val="002C4649"/>
    <w:rsid w:val="002D05C0"/>
    <w:rsid w:val="002D1110"/>
    <w:rsid w:val="002D14B3"/>
    <w:rsid w:val="002D334F"/>
    <w:rsid w:val="002D63BC"/>
    <w:rsid w:val="002D723A"/>
    <w:rsid w:val="002E26FE"/>
    <w:rsid w:val="002E2851"/>
    <w:rsid w:val="002E325E"/>
    <w:rsid w:val="002F4BFD"/>
    <w:rsid w:val="002F7318"/>
    <w:rsid w:val="002F7F8E"/>
    <w:rsid w:val="0030030D"/>
    <w:rsid w:val="00300FD6"/>
    <w:rsid w:val="00304B76"/>
    <w:rsid w:val="00305C91"/>
    <w:rsid w:val="0031076D"/>
    <w:rsid w:val="00310C98"/>
    <w:rsid w:val="003130B1"/>
    <w:rsid w:val="00314F8A"/>
    <w:rsid w:val="003179D5"/>
    <w:rsid w:val="00324401"/>
    <w:rsid w:val="00326973"/>
    <w:rsid w:val="00326EFB"/>
    <w:rsid w:val="003373C2"/>
    <w:rsid w:val="003515D2"/>
    <w:rsid w:val="0035496E"/>
    <w:rsid w:val="00360389"/>
    <w:rsid w:val="00360A94"/>
    <w:rsid w:val="00365C57"/>
    <w:rsid w:val="00376801"/>
    <w:rsid w:val="0038397A"/>
    <w:rsid w:val="003857AE"/>
    <w:rsid w:val="00385806"/>
    <w:rsid w:val="00386389"/>
    <w:rsid w:val="00387D9B"/>
    <w:rsid w:val="00390092"/>
    <w:rsid w:val="00390E02"/>
    <w:rsid w:val="00391BD7"/>
    <w:rsid w:val="003A0041"/>
    <w:rsid w:val="003A0FF8"/>
    <w:rsid w:val="003A1767"/>
    <w:rsid w:val="003A7EC2"/>
    <w:rsid w:val="003B3123"/>
    <w:rsid w:val="003B535F"/>
    <w:rsid w:val="003B6E0C"/>
    <w:rsid w:val="003C1C02"/>
    <w:rsid w:val="003C4894"/>
    <w:rsid w:val="003C572B"/>
    <w:rsid w:val="003D5DE2"/>
    <w:rsid w:val="003D70C5"/>
    <w:rsid w:val="003D75D9"/>
    <w:rsid w:val="003E599C"/>
    <w:rsid w:val="003E5ED0"/>
    <w:rsid w:val="003E6720"/>
    <w:rsid w:val="003F534B"/>
    <w:rsid w:val="003F6540"/>
    <w:rsid w:val="00401C9C"/>
    <w:rsid w:val="0042129A"/>
    <w:rsid w:val="00424104"/>
    <w:rsid w:val="00424251"/>
    <w:rsid w:val="00425858"/>
    <w:rsid w:val="00425D1E"/>
    <w:rsid w:val="004340AA"/>
    <w:rsid w:val="00435EA4"/>
    <w:rsid w:val="00441763"/>
    <w:rsid w:val="00444FF6"/>
    <w:rsid w:val="00445992"/>
    <w:rsid w:val="00446174"/>
    <w:rsid w:val="0045294B"/>
    <w:rsid w:val="00456C53"/>
    <w:rsid w:val="004625F3"/>
    <w:rsid w:val="00465002"/>
    <w:rsid w:val="00465752"/>
    <w:rsid w:val="00470F13"/>
    <w:rsid w:val="004714CF"/>
    <w:rsid w:val="00473398"/>
    <w:rsid w:val="00473ADA"/>
    <w:rsid w:val="0047708A"/>
    <w:rsid w:val="00481461"/>
    <w:rsid w:val="004918DA"/>
    <w:rsid w:val="00494E43"/>
    <w:rsid w:val="00497072"/>
    <w:rsid w:val="004B076A"/>
    <w:rsid w:val="004E1B11"/>
    <w:rsid w:val="004E3FBA"/>
    <w:rsid w:val="004E456E"/>
    <w:rsid w:val="004E64C1"/>
    <w:rsid w:val="004F4675"/>
    <w:rsid w:val="004F5435"/>
    <w:rsid w:val="004F78CF"/>
    <w:rsid w:val="0050356F"/>
    <w:rsid w:val="00504BB3"/>
    <w:rsid w:val="0050585E"/>
    <w:rsid w:val="00511E18"/>
    <w:rsid w:val="00513908"/>
    <w:rsid w:val="0051472C"/>
    <w:rsid w:val="00514EF9"/>
    <w:rsid w:val="00517306"/>
    <w:rsid w:val="005216FF"/>
    <w:rsid w:val="005310CF"/>
    <w:rsid w:val="005407F3"/>
    <w:rsid w:val="00543444"/>
    <w:rsid w:val="00546CC0"/>
    <w:rsid w:val="00552FE0"/>
    <w:rsid w:val="00554ED7"/>
    <w:rsid w:val="0055777F"/>
    <w:rsid w:val="0056059E"/>
    <w:rsid w:val="0057275D"/>
    <w:rsid w:val="00574AAF"/>
    <w:rsid w:val="005756A4"/>
    <w:rsid w:val="00577E2A"/>
    <w:rsid w:val="00580ABD"/>
    <w:rsid w:val="0058302E"/>
    <w:rsid w:val="005873A5"/>
    <w:rsid w:val="0059197F"/>
    <w:rsid w:val="005926A1"/>
    <w:rsid w:val="005937D2"/>
    <w:rsid w:val="00597529"/>
    <w:rsid w:val="005A136A"/>
    <w:rsid w:val="005A29F6"/>
    <w:rsid w:val="005A2BC8"/>
    <w:rsid w:val="005A2CE4"/>
    <w:rsid w:val="005A3A01"/>
    <w:rsid w:val="005B454A"/>
    <w:rsid w:val="005B64E0"/>
    <w:rsid w:val="005C454F"/>
    <w:rsid w:val="005C456F"/>
    <w:rsid w:val="005D4A5B"/>
    <w:rsid w:val="005D783F"/>
    <w:rsid w:val="005E25C0"/>
    <w:rsid w:val="005E5C59"/>
    <w:rsid w:val="005E7276"/>
    <w:rsid w:val="005F4FD4"/>
    <w:rsid w:val="00600338"/>
    <w:rsid w:val="006015F1"/>
    <w:rsid w:val="00601AAC"/>
    <w:rsid w:val="006036E7"/>
    <w:rsid w:val="0060555E"/>
    <w:rsid w:val="006077AE"/>
    <w:rsid w:val="00613CA4"/>
    <w:rsid w:val="0062119D"/>
    <w:rsid w:val="0062239F"/>
    <w:rsid w:val="0062269C"/>
    <w:rsid w:val="00632C02"/>
    <w:rsid w:val="00632D81"/>
    <w:rsid w:val="00634CBA"/>
    <w:rsid w:val="00634CFC"/>
    <w:rsid w:val="00635001"/>
    <w:rsid w:val="00636F1D"/>
    <w:rsid w:val="00643010"/>
    <w:rsid w:val="00647F50"/>
    <w:rsid w:val="00651F9A"/>
    <w:rsid w:val="00655093"/>
    <w:rsid w:val="006560C8"/>
    <w:rsid w:val="00657BBC"/>
    <w:rsid w:val="00660368"/>
    <w:rsid w:val="0066359A"/>
    <w:rsid w:val="00666800"/>
    <w:rsid w:val="0066704C"/>
    <w:rsid w:val="006721A8"/>
    <w:rsid w:val="006747A9"/>
    <w:rsid w:val="00677A69"/>
    <w:rsid w:val="00681761"/>
    <w:rsid w:val="006853D5"/>
    <w:rsid w:val="006863AF"/>
    <w:rsid w:val="00687CF8"/>
    <w:rsid w:val="00690460"/>
    <w:rsid w:val="006A080A"/>
    <w:rsid w:val="006A7468"/>
    <w:rsid w:val="006C21AA"/>
    <w:rsid w:val="006C4305"/>
    <w:rsid w:val="006C6703"/>
    <w:rsid w:val="006C6A19"/>
    <w:rsid w:val="006C6A6C"/>
    <w:rsid w:val="006D06A8"/>
    <w:rsid w:val="006D2514"/>
    <w:rsid w:val="006D5487"/>
    <w:rsid w:val="006D6C95"/>
    <w:rsid w:val="006E1B85"/>
    <w:rsid w:val="006E20B7"/>
    <w:rsid w:val="006E46C4"/>
    <w:rsid w:val="006E67C1"/>
    <w:rsid w:val="006F025A"/>
    <w:rsid w:val="006F037D"/>
    <w:rsid w:val="006F1427"/>
    <w:rsid w:val="006F16F1"/>
    <w:rsid w:val="006F361C"/>
    <w:rsid w:val="00700533"/>
    <w:rsid w:val="00702B07"/>
    <w:rsid w:val="00705FC4"/>
    <w:rsid w:val="00712EA5"/>
    <w:rsid w:val="00714B3A"/>
    <w:rsid w:val="00723F24"/>
    <w:rsid w:val="007257DB"/>
    <w:rsid w:val="0072688D"/>
    <w:rsid w:val="00742331"/>
    <w:rsid w:val="00755AE2"/>
    <w:rsid w:val="00757944"/>
    <w:rsid w:val="007603DC"/>
    <w:rsid w:val="0076299E"/>
    <w:rsid w:val="0077128B"/>
    <w:rsid w:val="00773B6F"/>
    <w:rsid w:val="00775631"/>
    <w:rsid w:val="00782299"/>
    <w:rsid w:val="007903A1"/>
    <w:rsid w:val="0079759F"/>
    <w:rsid w:val="007B0736"/>
    <w:rsid w:val="007B117C"/>
    <w:rsid w:val="007B3395"/>
    <w:rsid w:val="007B4013"/>
    <w:rsid w:val="007B426D"/>
    <w:rsid w:val="007B52B5"/>
    <w:rsid w:val="007B6B56"/>
    <w:rsid w:val="007C3C66"/>
    <w:rsid w:val="007C6472"/>
    <w:rsid w:val="007D01BD"/>
    <w:rsid w:val="007D17FC"/>
    <w:rsid w:val="007D217E"/>
    <w:rsid w:val="007D334B"/>
    <w:rsid w:val="007D50E2"/>
    <w:rsid w:val="007E14E6"/>
    <w:rsid w:val="007E3A16"/>
    <w:rsid w:val="007F586F"/>
    <w:rsid w:val="007F7D9E"/>
    <w:rsid w:val="00801C1C"/>
    <w:rsid w:val="0080442A"/>
    <w:rsid w:val="00807413"/>
    <w:rsid w:val="00814B58"/>
    <w:rsid w:val="0081523B"/>
    <w:rsid w:val="00820249"/>
    <w:rsid w:val="00823DE5"/>
    <w:rsid w:val="008258BD"/>
    <w:rsid w:val="00825B58"/>
    <w:rsid w:val="00831830"/>
    <w:rsid w:val="008378EE"/>
    <w:rsid w:val="008417B1"/>
    <w:rsid w:val="0084230D"/>
    <w:rsid w:val="00846117"/>
    <w:rsid w:val="0085383F"/>
    <w:rsid w:val="00856350"/>
    <w:rsid w:val="00856B99"/>
    <w:rsid w:val="008572D9"/>
    <w:rsid w:val="008606E5"/>
    <w:rsid w:val="0087059E"/>
    <w:rsid w:val="008737E3"/>
    <w:rsid w:val="00876667"/>
    <w:rsid w:val="00890009"/>
    <w:rsid w:val="008903BE"/>
    <w:rsid w:val="00895A1D"/>
    <w:rsid w:val="008A03B5"/>
    <w:rsid w:val="008A062F"/>
    <w:rsid w:val="008A5619"/>
    <w:rsid w:val="008B13C7"/>
    <w:rsid w:val="008B76C4"/>
    <w:rsid w:val="008D5EF8"/>
    <w:rsid w:val="008D712C"/>
    <w:rsid w:val="008D750B"/>
    <w:rsid w:val="008E0591"/>
    <w:rsid w:val="008E2761"/>
    <w:rsid w:val="008E6E8E"/>
    <w:rsid w:val="008F0932"/>
    <w:rsid w:val="008F3AEE"/>
    <w:rsid w:val="008F68C7"/>
    <w:rsid w:val="008F734B"/>
    <w:rsid w:val="00901B14"/>
    <w:rsid w:val="00901D3B"/>
    <w:rsid w:val="0090785B"/>
    <w:rsid w:val="00914D6A"/>
    <w:rsid w:val="00915619"/>
    <w:rsid w:val="00915750"/>
    <w:rsid w:val="009161E3"/>
    <w:rsid w:val="009235D8"/>
    <w:rsid w:val="00925488"/>
    <w:rsid w:val="00936CB3"/>
    <w:rsid w:val="00944F84"/>
    <w:rsid w:val="00957D48"/>
    <w:rsid w:val="00960767"/>
    <w:rsid w:val="00961795"/>
    <w:rsid w:val="00961ED4"/>
    <w:rsid w:val="00966DC9"/>
    <w:rsid w:val="00967B6F"/>
    <w:rsid w:val="009749C1"/>
    <w:rsid w:val="00975A6D"/>
    <w:rsid w:val="009829C3"/>
    <w:rsid w:val="00983BED"/>
    <w:rsid w:val="00992A21"/>
    <w:rsid w:val="00996E83"/>
    <w:rsid w:val="009A2A76"/>
    <w:rsid w:val="009A3B13"/>
    <w:rsid w:val="009A5E35"/>
    <w:rsid w:val="009A7815"/>
    <w:rsid w:val="009B1ABF"/>
    <w:rsid w:val="009B21FF"/>
    <w:rsid w:val="009B4443"/>
    <w:rsid w:val="009B4C21"/>
    <w:rsid w:val="009C0C10"/>
    <w:rsid w:val="009C3852"/>
    <w:rsid w:val="009D3C22"/>
    <w:rsid w:val="009E1967"/>
    <w:rsid w:val="009E39FC"/>
    <w:rsid w:val="009E6394"/>
    <w:rsid w:val="009E7F92"/>
    <w:rsid w:val="009F2808"/>
    <w:rsid w:val="009F316A"/>
    <w:rsid w:val="00A000A8"/>
    <w:rsid w:val="00A06286"/>
    <w:rsid w:val="00A116A6"/>
    <w:rsid w:val="00A145E2"/>
    <w:rsid w:val="00A14C19"/>
    <w:rsid w:val="00A25D85"/>
    <w:rsid w:val="00A33E27"/>
    <w:rsid w:val="00A34799"/>
    <w:rsid w:val="00A36BED"/>
    <w:rsid w:val="00A379F6"/>
    <w:rsid w:val="00A4292C"/>
    <w:rsid w:val="00A54BC7"/>
    <w:rsid w:val="00A572FB"/>
    <w:rsid w:val="00A60E36"/>
    <w:rsid w:val="00A623CF"/>
    <w:rsid w:val="00A6686F"/>
    <w:rsid w:val="00A73B9E"/>
    <w:rsid w:val="00A75610"/>
    <w:rsid w:val="00A769B3"/>
    <w:rsid w:val="00A84D94"/>
    <w:rsid w:val="00A87941"/>
    <w:rsid w:val="00A87F9B"/>
    <w:rsid w:val="00A90CFC"/>
    <w:rsid w:val="00A91ABB"/>
    <w:rsid w:val="00A97BF8"/>
    <w:rsid w:val="00AA1081"/>
    <w:rsid w:val="00AA429D"/>
    <w:rsid w:val="00AB0C2D"/>
    <w:rsid w:val="00AB55E3"/>
    <w:rsid w:val="00AB72E4"/>
    <w:rsid w:val="00AC69F6"/>
    <w:rsid w:val="00AD166E"/>
    <w:rsid w:val="00AD1D9E"/>
    <w:rsid w:val="00AD4444"/>
    <w:rsid w:val="00AD774B"/>
    <w:rsid w:val="00AE7F53"/>
    <w:rsid w:val="00AF2CFA"/>
    <w:rsid w:val="00B003F2"/>
    <w:rsid w:val="00B03CC2"/>
    <w:rsid w:val="00B03D87"/>
    <w:rsid w:val="00B100D2"/>
    <w:rsid w:val="00B1463F"/>
    <w:rsid w:val="00B173AD"/>
    <w:rsid w:val="00B17A54"/>
    <w:rsid w:val="00B3036B"/>
    <w:rsid w:val="00B306D1"/>
    <w:rsid w:val="00B326AE"/>
    <w:rsid w:val="00B34960"/>
    <w:rsid w:val="00B3778C"/>
    <w:rsid w:val="00B37D26"/>
    <w:rsid w:val="00B42F46"/>
    <w:rsid w:val="00B4411A"/>
    <w:rsid w:val="00B56270"/>
    <w:rsid w:val="00B719F0"/>
    <w:rsid w:val="00B81E1E"/>
    <w:rsid w:val="00B85388"/>
    <w:rsid w:val="00B86A79"/>
    <w:rsid w:val="00B9032E"/>
    <w:rsid w:val="00BB205B"/>
    <w:rsid w:val="00BB617A"/>
    <w:rsid w:val="00BB7186"/>
    <w:rsid w:val="00BD0C8C"/>
    <w:rsid w:val="00BD314E"/>
    <w:rsid w:val="00BD58F7"/>
    <w:rsid w:val="00BE07BE"/>
    <w:rsid w:val="00BE2AB3"/>
    <w:rsid w:val="00BE4E53"/>
    <w:rsid w:val="00BF5677"/>
    <w:rsid w:val="00C00ED4"/>
    <w:rsid w:val="00C13373"/>
    <w:rsid w:val="00C143A9"/>
    <w:rsid w:val="00C236FD"/>
    <w:rsid w:val="00C324BF"/>
    <w:rsid w:val="00C344C5"/>
    <w:rsid w:val="00C35A4C"/>
    <w:rsid w:val="00C42272"/>
    <w:rsid w:val="00C440AD"/>
    <w:rsid w:val="00C51778"/>
    <w:rsid w:val="00C524BB"/>
    <w:rsid w:val="00C650D7"/>
    <w:rsid w:val="00C70ADB"/>
    <w:rsid w:val="00C71D63"/>
    <w:rsid w:val="00C74569"/>
    <w:rsid w:val="00C74B93"/>
    <w:rsid w:val="00C76AD6"/>
    <w:rsid w:val="00C77EF8"/>
    <w:rsid w:val="00C8408C"/>
    <w:rsid w:val="00C8673A"/>
    <w:rsid w:val="00C86F2E"/>
    <w:rsid w:val="00C97873"/>
    <w:rsid w:val="00CA61D0"/>
    <w:rsid w:val="00CB35E8"/>
    <w:rsid w:val="00CB49D9"/>
    <w:rsid w:val="00CC567C"/>
    <w:rsid w:val="00CE3056"/>
    <w:rsid w:val="00CE5138"/>
    <w:rsid w:val="00CE6877"/>
    <w:rsid w:val="00CF07B7"/>
    <w:rsid w:val="00CF18C9"/>
    <w:rsid w:val="00CF2C5E"/>
    <w:rsid w:val="00CF5480"/>
    <w:rsid w:val="00CF79CB"/>
    <w:rsid w:val="00D006B3"/>
    <w:rsid w:val="00D1149B"/>
    <w:rsid w:val="00D15A30"/>
    <w:rsid w:val="00D15D74"/>
    <w:rsid w:val="00D16187"/>
    <w:rsid w:val="00D172F0"/>
    <w:rsid w:val="00D178E6"/>
    <w:rsid w:val="00D3017C"/>
    <w:rsid w:val="00D317D2"/>
    <w:rsid w:val="00D37501"/>
    <w:rsid w:val="00D41BAC"/>
    <w:rsid w:val="00D55BF6"/>
    <w:rsid w:val="00D55E9C"/>
    <w:rsid w:val="00D56427"/>
    <w:rsid w:val="00D60863"/>
    <w:rsid w:val="00D624E3"/>
    <w:rsid w:val="00D65E63"/>
    <w:rsid w:val="00D7312F"/>
    <w:rsid w:val="00D740B7"/>
    <w:rsid w:val="00D920F5"/>
    <w:rsid w:val="00D92E7B"/>
    <w:rsid w:val="00D92EC1"/>
    <w:rsid w:val="00D935CE"/>
    <w:rsid w:val="00D94278"/>
    <w:rsid w:val="00D96A4B"/>
    <w:rsid w:val="00D96D83"/>
    <w:rsid w:val="00D97420"/>
    <w:rsid w:val="00DA43D9"/>
    <w:rsid w:val="00DA5377"/>
    <w:rsid w:val="00DA7D04"/>
    <w:rsid w:val="00DB2012"/>
    <w:rsid w:val="00DB266F"/>
    <w:rsid w:val="00DB4A95"/>
    <w:rsid w:val="00DC36EB"/>
    <w:rsid w:val="00DC61B2"/>
    <w:rsid w:val="00DC6BF2"/>
    <w:rsid w:val="00DD03A5"/>
    <w:rsid w:val="00DD1796"/>
    <w:rsid w:val="00DD242E"/>
    <w:rsid w:val="00DD5AAD"/>
    <w:rsid w:val="00DE18CB"/>
    <w:rsid w:val="00DE67A5"/>
    <w:rsid w:val="00DF5D80"/>
    <w:rsid w:val="00DF6483"/>
    <w:rsid w:val="00DF7D8B"/>
    <w:rsid w:val="00E022AB"/>
    <w:rsid w:val="00E02652"/>
    <w:rsid w:val="00E06E7C"/>
    <w:rsid w:val="00E06FFA"/>
    <w:rsid w:val="00E10783"/>
    <w:rsid w:val="00E15E8A"/>
    <w:rsid w:val="00E17DD7"/>
    <w:rsid w:val="00E200F3"/>
    <w:rsid w:val="00E24125"/>
    <w:rsid w:val="00E27861"/>
    <w:rsid w:val="00E42C81"/>
    <w:rsid w:val="00E42E4F"/>
    <w:rsid w:val="00E43B42"/>
    <w:rsid w:val="00E51BC4"/>
    <w:rsid w:val="00E622F0"/>
    <w:rsid w:val="00E67166"/>
    <w:rsid w:val="00E840F9"/>
    <w:rsid w:val="00E904A9"/>
    <w:rsid w:val="00E923F5"/>
    <w:rsid w:val="00E96537"/>
    <w:rsid w:val="00EB2FF9"/>
    <w:rsid w:val="00EB4A8D"/>
    <w:rsid w:val="00EB54C6"/>
    <w:rsid w:val="00EB5D69"/>
    <w:rsid w:val="00EB6042"/>
    <w:rsid w:val="00EC12AE"/>
    <w:rsid w:val="00EC5B78"/>
    <w:rsid w:val="00ED15AB"/>
    <w:rsid w:val="00ED50D7"/>
    <w:rsid w:val="00ED639F"/>
    <w:rsid w:val="00ED7C2E"/>
    <w:rsid w:val="00EE78E3"/>
    <w:rsid w:val="00EF27AC"/>
    <w:rsid w:val="00EF494A"/>
    <w:rsid w:val="00F15F08"/>
    <w:rsid w:val="00F16C3E"/>
    <w:rsid w:val="00F17ADF"/>
    <w:rsid w:val="00F314E9"/>
    <w:rsid w:val="00F42DC3"/>
    <w:rsid w:val="00F533D3"/>
    <w:rsid w:val="00F57EFE"/>
    <w:rsid w:val="00F60FAC"/>
    <w:rsid w:val="00F61079"/>
    <w:rsid w:val="00F621EE"/>
    <w:rsid w:val="00F65A53"/>
    <w:rsid w:val="00F65C73"/>
    <w:rsid w:val="00F7523D"/>
    <w:rsid w:val="00F75392"/>
    <w:rsid w:val="00F76E7B"/>
    <w:rsid w:val="00F81A91"/>
    <w:rsid w:val="00F86BFE"/>
    <w:rsid w:val="00F873C9"/>
    <w:rsid w:val="00F94699"/>
    <w:rsid w:val="00FA220F"/>
    <w:rsid w:val="00FB5700"/>
    <w:rsid w:val="00FB602B"/>
    <w:rsid w:val="00FC1D84"/>
    <w:rsid w:val="00FC2270"/>
    <w:rsid w:val="00FC26EF"/>
    <w:rsid w:val="00FC2857"/>
    <w:rsid w:val="00FD03C7"/>
    <w:rsid w:val="00FD134D"/>
    <w:rsid w:val="00FD1A44"/>
    <w:rsid w:val="00FD3E2C"/>
    <w:rsid w:val="00FE6124"/>
    <w:rsid w:val="00FE77AC"/>
    <w:rsid w:val="00FF3732"/>
    <w:rsid w:val="00FF6229"/>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74"/>
    <w:rPr>
      <w:rFonts w:ascii="Book Antiqua" w:hAnsi="Book Antiqua" w:cs="Book Antiqua"/>
      <w:sz w:val="22"/>
      <w:szCs w:val="22"/>
      <w:lang w:val="en-GB" w:eastAsia="en-GB"/>
    </w:rPr>
  </w:style>
  <w:style w:type="paragraph" w:styleId="Heading1">
    <w:name w:val="heading 1"/>
    <w:basedOn w:val="Normal"/>
    <w:next w:val="Normal"/>
    <w:link w:val="Heading1Char"/>
    <w:uiPriority w:val="99"/>
    <w:qFormat/>
    <w:rsid w:val="004E456E"/>
    <w:pPr>
      <w:keepNext/>
      <w:jc w:val="both"/>
      <w:outlineLvl w:val="0"/>
    </w:pPr>
    <w:rPr>
      <w:rFonts w:ascii="Arial" w:hAnsi="Arial" w:cs="Arial"/>
      <w:b/>
      <w:bCs/>
    </w:rPr>
  </w:style>
  <w:style w:type="paragraph" w:styleId="Heading2">
    <w:name w:val="heading 2"/>
    <w:basedOn w:val="Normal"/>
    <w:next w:val="Normal"/>
    <w:link w:val="Heading2Char"/>
    <w:uiPriority w:val="99"/>
    <w:qFormat/>
    <w:rsid w:val="004E456E"/>
    <w:pPr>
      <w:keepNext/>
      <w:spacing w:line="240" w:lineRule="atLeast"/>
      <w:jc w:val="both"/>
      <w:outlineLvl w:val="1"/>
    </w:pPr>
    <w:rPr>
      <w:rFonts w:ascii="Arial" w:hAnsi="Arial" w:cs="Arial"/>
      <w:b/>
      <w:bCs/>
      <w:color w:val="000000"/>
      <w:u w:val="single"/>
      <w:lang w:val="en-US" w:eastAsia="en-US"/>
    </w:rPr>
  </w:style>
  <w:style w:type="paragraph" w:styleId="Heading3">
    <w:name w:val="heading 3"/>
    <w:basedOn w:val="Normal"/>
    <w:next w:val="Normal"/>
    <w:link w:val="Heading3Char"/>
    <w:uiPriority w:val="99"/>
    <w:qFormat/>
    <w:rsid w:val="004E456E"/>
    <w:pPr>
      <w:keepNext/>
      <w:jc w:val="both"/>
      <w:outlineLvl w:val="2"/>
    </w:pPr>
    <w:rPr>
      <w:rFonts w:ascii="Arial" w:hAnsi="Arial" w:cs="Arial"/>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2AA"/>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2F52AA"/>
    <w:rPr>
      <w:rFonts w:ascii="Cambria" w:eastAsia="Times New Roman" w:hAnsi="Cambria" w:cs="Times New Roman"/>
      <w:b/>
      <w:bCs/>
      <w:i/>
      <w:iCs/>
      <w:sz w:val="28"/>
      <w:szCs w:val="28"/>
      <w:lang w:val="en-GB" w:eastAsia="en-GB"/>
    </w:rPr>
  </w:style>
  <w:style w:type="character" w:customStyle="1" w:styleId="Heading3Char">
    <w:name w:val="Heading 3 Char"/>
    <w:basedOn w:val="DefaultParagraphFont"/>
    <w:link w:val="Heading3"/>
    <w:uiPriority w:val="9"/>
    <w:semiHidden/>
    <w:rsid w:val="002F52AA"/>
    <w:rPr>
      <w:rFonts w:ascii="Cambria" w:eastAsia="Times New Roman" w:hAnsi="Cambria" w:cs="Times New Roman"/>
      <w:b/>
      <w:bCs/>
      <w:sz w:val="26"/>
      <w:szCs w:val="26"/>
      <w:lang w:val="en-GB" w:eastAsia="en-GB"/>
    </w:rPr>
  </w:style>
  <w:style w:type="paragraph" w:styleId="TOC1">
    <w:name w:val="toc 1"/>
    <w:basedOn w:val="Normal"/>
    <w:next w:val="Normal"/>
    <w:autoRedefine/>
    <w:uiPriority w:val="99"/>
    <w:semiHidden/>
    <w:rsid w:val="004E456E"/>
    <w:pPr>
      <w:numPr>
        <w:numId w:val="1"/>
      </w:numPr>
      <w:tabs>
        <w:tab w:val="clear" w:pos="720"/>
        <w:tab w:val="num" w:pos="1440"/>
      </w:tabs>
      <w:ind w:left="1440" w:hanging="1440"/>
    </w:pPr>
    <w:rPr>
      <w:b/>
      <w:bCs/>
      <w:sz w:val="24"/>
      <w:szCs w:val="24"/>
      <w:lang w:val="en-MY" w:eastAsia="en-US"/>
    </w:rPr>
  </w:style>
  <w:style w:type="paragraph" w:styleId="TOC2">
    <w:name w:val="toc 2"/>
    <w:basedOn w:val="Normal"/>
    <w:next w:val="Normal"/>
    <w:autoRedefine/>
    <w:uiPriority w:val="99"/>
    <w:semiHidden/>
    <w:rsid w:val="004E456E"/>
    <w:pPr>
      <w:numPr>
        <w:numId w:val="2"/>
      </w:numPr>
      <w:tabs>
        <w:tab w:val="clear" w:pos="960"/>
        <w:tab w:val="num" w:pos="720"/>
      </w:tabs>
      <w:ind w:left="720"/>
    </w:pPr>
    <w:rPr>
      <w:b/>
      <w:bCs/>
      <w:lang w:val="en-MY" w:eastAsia="en-US"/>
    </w:rPr>
  </w:style>
  <w:style w:type="paragraph" w:styleId="TOC3">
    <w:name w:val="toc 3"/>
    <w:basedOn w:val="Normal"/>
    <w:next w:val="Normal"/>
    <w:autoRedefine/>
    <w:uiPriority w:val="99"/>
    <w:semiHidden/>
    <w:rsid w:val="004E456E"/>
    <w:pPr>
      <w:numPr>
        <w:numId w:val="3"/>
      </w:numPr>
      <w:tabs>
        <w:tab w:val="clear" w:pos="1200"/>
        <w:tab w:val="num" w:pos="720"/>
      </w:tabs>
      <w:ind w:left="720"/>
    </w:pPr>
    <w:rPr>
      <w:lang w:val="en-MY" w:eastAsia="en-US"/>
    </w:rPr>
  </w:style>
  <w:style w:type="paragraph" w:styleId="BodyText">
    <w:name w:val="Body Text"/>
    <w:basedOn w:val="Normal"/>
    <w:link w:val="BodyTextChar"/>
    <w:uiPriority w:val="99"/>
    <w:rsid w:val="004E456E"/>
    <w:pPr>
      <w:spacing w:line="240" w:lineRule="atLeast"/>
      <w:jc w:val="both"/>
    </w:pPr>
    <w:rPr>
      <w:rFonts w:ascii="Arial" w:hAnsi="Arial" w:cs="Arial"/>
      <w:color w:val="000000"/>
      <w:lang w:val="en-US" w:eastAsia="en-US"/>
    </w:rPr>
  </w:style>
  <w:style w:type="character" w:customStyle="1" w:styleId="BodyTextChar">
    <w:name w:val="Body Text Char"/>
    <w:basedOn w:val="DefaultParagraphFont"/>
    <w:link w:val="BodyText"/>
    <w:uiPriority w:val="99"/>
    <w:semiHidden/>
    <w:rsid w:val="002F52AA"/>
    <w:rPr>
      <w:rFonts w:ascii="Book Antiqua" w:hAnsi="Book Antiqua" w:cs="Book Antiqua"/>
      <w:lang w:val="en-GB" w:eastAsia="en-GB"/>
    </w:rPr>
  </w:style>
  <w:style w:type="paragraph" w:styleId="BalloonText">
    <w:name w:val="Balloon Text"/>
    <w:basedOn w:val="Normal"/>
    <w:link w:val="BalloonTextChar"/>
    <w:uiPriority w:val="99"/>
    <w:semiHidden/>
    <w:rsid w:val="004E456E"/>
    <w:rPr>
      <w:rFonts w:ascii="Tahoma" w:hAnsi="Tahoma" w:cs="Tahoma"/>
      <w:sz w:val="16"/>
      <w:szCs w:val="16"/>
    </w:rPr>
  </w:style>
  <w:style w:type="character" w:customStyle="1" w:styleId="BalloonTextChar">
    <w:name w:val="Balloon Text Char"/>
    <w:basedOn w:val="DefaultParagraphFont"/>
    <w:link w:val="BalloonText"/>
    <w:uiPriority w:val="99"/>
    <w:semiHidden/>
    <w:rsid w:val="002F52AA"/>
    <w:rPr>
      <w:sz w:val="0"/>
      <w:szCs w:val="0"/>
      <w:lang w:val="en-GB" w:eastAsia="en-GB"/>
    </w:rPr>
  </w:style>
  <w:style w:type="paragraph" w:styleId="BodyTextIndent2">
    <w:name w:val="Body Text Indent 2"/>
    <w:basedOn w:val="Normal"/>
    <w:link w:val="BodyTextIndent2Char"/>
    <w:uiPriority w:val="99"/>
    <w:rsid w:val="004E456E"/>
    <w:pPr>
      <w:ind w:left="360"/>
      <w:jc w:val="both"/>
    </w:pPr>
    <w:rPr>
      <w:rFonts w:ascii="Arial" w:hAnsi="Arial" w:cs="Arial"/>
      <w:sz w:val="23"/>
      <w:szCs w:val="23"/>
      <w:lang w:val="en-MY" w:eastAsia="en-US"/>
    </w:rPr>
  </w:style>
  <w:style w:type="character" w:customStyle="1" w:styleId="BodyTextIndent2Char">
    <w:name w:val="Body Text Indent 2 Char"/>
    <w:basedOn w:val="DefaultParagraphFont"/>
    <w:link w:val="BodyTextIndent2"/>
    <w:uiPriority w:val="99"/>
    <w:semiHidden/>
    <w:rsid w:val="002F52AA"/>
    <w:rPr>
      <w:rFonts w:ascii="Book Antiqua" w:hAnsi="Book Antiqua" w:cs="Book Antiqua"/>
      <w:lang w:val="en-GB" w:eastAsia="en-GB"/>
    </w:rPr>
  </w:style>
  <w:style w:type="paragraph" w:styleId="BodyText2">
    <w:name w:val="Body Text 2"/>
    <w:basedOn w:val="Normal"/>
    <w:link w:val="BodyText2Char"/>
    <w:uiPriority w:val="99"/>
    <w:rsid w:val="004E456E"/>
    <w:pPr>
      <w:jc w:val="both"/>
    </w:pPr>
    <w:rPr>
      <w:rFonts w:ascii="Arial" w:hAnsi="Arial" w:cs="Arial"/>
    </w:rPr>
  </w:style>
  <w:style w:type="character" w:customStyle="1" w:styleId="BodyText2Char">
    <w:name w:val="Body Text 2 Char"/>
    <w:basedOn w:val="DefaultParagraphFont"/>
    <w:link w:val="BodyText2"/>
    <w:uiPriority w:val="99"/>
    <w:semiHidden/>
    <w:rsid w:val="002F52AA"/>
    <w:rPr>
      <w:rFonts w:ascii="Book Antiqua" w:hAnsi="Book Antiqua" w:cs="Book Antiqua"/>
      <w:lang w:val="en-GB" w:eastAsia="en-GB"/>
    </w:rPr>
  </w:style>
  <w:style w:type="table" w:styleId="TableGrid">
    <w:name w:val="Table Grid"/>
    <w:basedOn w:val="TableNormal"/>
    <w:uiPriority w:val="99"/>
    <w:rsid w:val="00267600"/>
    <w:rPr>
      <w:rFonts w:ascii="Book Antiqu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6DD"/>
    <w:pPr>
      <w:tabs>
        <w:tab w:val="center" w:pos="4320"/>
        <w:tab w:val="right" w:pos="8640"/>
      </w:tabs>
    </w:pPr>
  </w:style>
  <w:style w:type="character" w:customStyle="1" w:styleId="HeaderChar">
    <w:name w:val="Header Char"/>
    <w:basedOn w:val="DefaultParagraphFont"/>
    <w:link w:val="Header"/>
    <w:uiPriority w:val="99"/>
    <w:semiHidden/>
    <w:rsid w:val="002F52AA"/>
    <w:rPr>
      <w:rFonts w:ascii="Book Antiqua" w:hAnsi="Book Antiqua" w:cs="Book Antiqua"/>
      <w:lang w:val="en-GB" w:eastAsia="en-GB"/>
    </w:rPr>
  </w:style>
  <w:style w:type="paragraph" w:styleId="Footer">
    <w:name w:val="footer"/>
    <w:basedOn w:val="Normal"/>
    <w:link w:val="FooterChar"/>
    <w:uiPriority w:val="99"/>
    <w:rsid w:val="001066DD"/>
    <w:pPr>
      <w:tabs>
        <w:tab w:val="center" w:pos="4320"/>
        <w:tab w:val="right" w:pos="8640"/>
      </w:tabs>
    </w:pPr>
  </w:style>
  <w:style w:type="character" w:customStyle="1" w:styleId="FooterChar">
    <w:name w:val="Footer Char"/>
    <w:basedOn w:val="DefaultParagraphFont"/>
    <w:link w:val="Footer"/>
    <w:uiPriority w:val="99"/>
    <w:semiHidden/>
    <w:rsid w:val="002F52AA"/>
    <w:rPr>
      <w:rFonts w:ascii="Book Antiqua" w:hAnsi="Book Antiqua" w:cs="Book Antiqua"/>
      <w:lang w:val="en-GB" w:eastAsia="en-GB"/>
    </w:rPr>
  </w:style>
  <w:style w:type="paragraph" w:styleId="ListParagraph">
    <w:name w:val="List Paragraph"/>
    <w:basedOn w:val="Normal"/>
    <w:uiPriority w:val="99"/>
    <w:qFormat/>
    <w:rsid w:val="005A2BC8"/>
    <w:pPr>
      <w:spacing w:after="200" w:line="276" w:lineRule="auto"/>
      <w:ind w:left="720"/>
    </w:pPr>
    <w:rPr>
      <w:rFonts w:ascii="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74"/>
    <w:rPr>
      <w:rFonts w:ascii="Book Antiqua" w:hAnsi="Book Antiqua" w:cs="Book Antiqua"/>
      <w:sz w:val="22"/>
      <w:szCs w:val="22"/>
      <w:lang w:val="en-GB" w:eastAsia="en-GB"/>
    </w:rPr>
  </w:style>
  <w:style w:type="paragraph" w:styleId="Heading1">
    <w:name w:val="heading 1"/>
    <w:basedOn w:val="Normal"/>
    <w:next w:val="Normal"/>
    <w:link w:val="Heading1Char"/>
    <w:uiPriority w:val="99"/>
    <w:qFormat/>
    <w:rsid w:val="004E456E"/>
    <w:pPr>
      <w:keepNext/>
      <w:jc w:val="both"/>
      <w:outlineLvl w:val="0"/>
    </w:pPr>
    <w:rPr>
      <w:rFonts w:ascii="Arial" w:hAnsi="Arial" w:cs="Arial"/>
      <w:b/>
      <w:bCs/>
    </w:rPr>
  </w:style>
  <w:style w:type="paragraph" w:styleId="Heading2">
    <w:name w:val="heading 2"/>
    <w:basedOn w:val="Normal"/>
    <w:next w:val="Normal"/>
    <w:link w:val="Heading2Char"/>
    <w:uiPriority w:val="99"/>
    <w:qFormat/>
    <w:rsid w:val="004E456E"/>
    <w:pPr>
      <w:keepNext/>
      <w:spacing w:line="240" w:lineRule="atLeast"/>
      <w:jc w:val="both"/>
      <w:outlineLvl w:val="1"/>
    </w:pPr>
    <w:rPr>
      <w:rFonts w:ascii="Arial" w:hAnsi="Arial" w:cs="Arial"/>
      <w:b/>
      <w:bCs/>
      <w:color w:val="000000"/>
      <w:u w:val="single"/>
      <w:lang w:val="en-US" w:eastAsia="en-US"/>
    </w:rPr>
  </w:style>
  <w:style w:type="paragraph" w:styleId="Heading3">
    <w:name w:val="heading 3"/>
    <w:basedOn w:val="Normal"/>
    <w:next w:val="Normal"/>
    <w:link w:val="Heading3Char"/>
    <w:uiPriority w:val="99"/>
    <w:qFormat/>
    <w:rsid w:val="004E456E"/>
    <w:pPr>
      <w:keepNext/>
      <w:jc w:val="both"/>
      <w:outlineLvl w:val="2"/>
    </w:pPr>
    <w:rPr>
      <w:rFonts w:ascii="Arial" w:hAnsi="Arial" w:cs="Arial"/>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2AA"/>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2F52AA"/>
    <w:rPr>
      <w:rFonts w:ascii="Cambria" w:eastAsia="Times New Roman" w:hAnsi="Cambria" w:cs="Times New Roman"/>
      <w:b/>
      <w:bCs/>
      <w:i/>
      <w:iCs/>
      <w:sz w:val="28"/>
      <w:szCs w:val="28"/>
      <w:lang w:val="en-GB" w:eastAsia="en-GB"/>
    </w:rPr>
  </w:style>
  <w:style w:type="character" w:customStyle="1" w:styleId="Heading3Char">
    <w:name w:val="Heading 3 Char"/>
    <w:basedOn w:val="DefaultParagraphFont"/>
    <w:link w:val="Heading3"/>
    <w:uiPriority w:val="9"/>
    <w:semiHidden/>
    <w:rsid w:val="002F52AA"/>
    <w:rPr>
      <w:rFonts w:ascii="Cambria" w:eastAsia="Times New Roman" w:hAnsi="Cambria" w:cs="Times New Roman"/>
      <w:b/>
      <w:bCs/>
      <w:sz w:val="26"/>
      <w:szCs w:val="26"/>
      <w:lang w:val="en-GB" w:eastAsia="en-GB"/>
    </w:rPr>
  </w:style>
  <w:style w:type="paragraph" w:styleId="TOC1">
    <w:name w:val="toc 1"/>
    <w:basedOn w:val="Normal"/>
    <w:next w:val="Normal"/>
    <w:autoRedefine/>
    <w:uiPriority w:val="99"/>
    <w:semiHidden/>
    <w:rsid w:val="004E456E"/>
    <w:pPr>
      <w:numPr>
        <w:numId w:val="1"/>
      </w:numPr>
      <w:tabs>
        <w:tab w:val="clear" w:pos="720"/>
        <w:tab w:val="num" w:pos="1440"/>
      </w:tabs>
      <w:ind w:left="1440" w:hanging="1440"/>
    </w:pPr>
    <w:rPr>
      <w:b/>
      <w:bCs/>
      <w:sz w:val="24"/>
      <w:szCs w:val="24"/>
      <w:lang w:val="en-MY" w:eastAsia="en-US"/>
    </w:rPr>
  </w:style>
  <w:style w:type="paragraph" w:styleId="TOC2">
    <w:name w:val="toc 2"/>
    <w:basedOn w:val="Normal"/>
    <w:next w:val="Normal"/>
    <w:autoRedefine/>
    <w:uiPriority w:val="99"/>
    <w:semiHidden/>
    <w:rsid w:val="004E456E"/>
    <w:pPr>
      <w:numPr>
        <w:numId w:val="2"/>
      </w:numPr>
      <w:tabs>
        <w:tab w:val="clear" w:pos="960"/>
        <w:tab w:val="num" w:pos="720"/>
      </w:tabs>
      <w:ind w:left="720"/>
    </w:pPr>
    <w:rPr>
      <w:b/>
      <w:bCs/>
      <w:lang w:val="en-MY" w:eastAsia="en-US"/>
    </w:rPr>
  </w:style>
  <w:style w:type="paragraph" w:styleId="TOC3">
    <w:name w:val="toc 3"/>
    <w:basedOn w:val="Normal"/>
    <w:next w:val="Normal"/>
    <w:autoRedefine/>
    <w:uiPriority w:val="99"/>
    <w:semiHidden/>
    <w:rsid w:val="004E456E"/>
    <w:pPr>
      <w:numPr>
        <w:numId w:val="3"/>
      </w:numPr>
      <w:tabs>
        <w:tab w:val="clear" w:pos="1200"/>
        <w:tab w:val="num" w:pos="720"/>
      </w:tabs>
      <w:ind w:left="720"/>
    </w:pPr>
    <w:rPr>
      <w:lang w:val="en-MY" w:eastAsia="en-US"/>
    </w:rPr>
  </w:style>
  <w:style w:type="paragraph" w:styleId="BodyText">
    <w:name w:val="Body Text"/>
    <w:basedOn w:val="Normal"/>
    <w:link w:val="BodyTextChar"/>
    <w:uiPriority w:val="99"/>
    <w:rsid w:val="004E456E"/>
    <w:pPr>
      <w:spacing w:line="240" w:lineRule="atLeast"/>
      <w:jc w:val="both"/>
    </w:pPr>
    <w:rPr>
      <w:rFonts w:ascii="Arial" w:hAnsi="Arial" w:cs="Arial"/>
      <w:color w:val="000000"/>
      <w:lang w:val="en-US" w:eastAsia="en-US"/>
    </w:rPr>
  </w:style>
  <w:style w:type="character" w:customStyle="1" w:styleId="BodyTextChar">
    <w:name w:val="Body Text Char"/>
    <w:basedOn w:val="DefaultParagraphFont"/>
    <w:link w:val="BodyText"/>
    <w:uiPriority w:val="99"/>
    <w:semiHidden/>
    <w:rsid w:val="002F52AA"/>
    <w:rPr>
      <w:rFonts w:ascii="Book Antiqua" w:hAnsi="Book Antiqua" w:cs="Book Antiqua"/>
      <w:lang w:val="en-GB" w:eastAsia="en-GB"/>
    </w:rPr>
  </w:style>
  <w:style w:type="paragraph" w:styleId="BalloonText">
    <w:name w:val="Balloon Text"/>
    <w:basedOn w:val="Normal"/>
    <w:link w:val="BalloonTextChar"/>
    <w:uiPriority w:val="99"/>
    <w:semiHidden/>
    <w:rsid w:val="004E456E"/>
    <w:rPr>
      <w:rFonts w:ascii="Tahoma" w:hAnsi="Tahoma" w:cs="Tahoma"/>
      <w:sz w:val="16"/>
      <w:szCs w:val="16"/>
    </w:rPr>
  </w:style>
  <w:style w:type="character" w:customStyle="1" w:styleId="BalloonTextChar">
    <w:name w:val="Balloon Text Char"/>
    <w:basedOn w:val="DefaultParagraphFont"/>
    <w:link w:val="BalloonText"/>
    <w:uiPriority w:val="99"/>
    <w:semiHidden/>
    <w:rsid w:val="002F52AA"/>
    <w:rPr>
      <w:sz w:val="0"/>
      <w:szCs w:val="0"/>
      <w:lang w:val="en-GB" w:eastAsia="en-GB"/>
    </w:rPr>
  </w:style>
  <w:style w:type="paragraph" w:styleId="BodyTextIndent2">
    <w:name w:val="Body Text Indent 2"/>
    <w:basedOn w:val="Normal"/>
    <w:link w:val="BodyTextIndent2Char"/>
    <w:uiPriority w:val="99"/>
    <w:rsid w:val="004E456E"/>
    <w:pPr>
      <w:ind w:left="360"/>
      <w:jc w:val="both"/>
    </w:pPr>
    <w:rPr>
      <w:rFonts w:ascii="Arial" w:hAnsi="Arial" w:cs="Arial"/>
      <w:sz w:val="23"/>
      <w:szCs w:val="23"/>
      <w:lang w:val="en-MY" w:eastAsia="en-US"/>
    </w:rPr>
  </w:style>
  <w:style w:type="character" w:customStyle="1" w:styleId="BodyTextIndent2Char">
    <w:name w:val="Body Text Indent 2 Char"/>
    <w:basedOn w:val="DefaultParagraphFont"/>
    <w:link w:val="BodyTextIndent2"/>
    <w:uiPriority w:val="99"/>
    <w:semiHidden/>
    <w:rsid w:val="002F52AA"/>
    <w:rPr>
      <w:rFonts w:ascii="Book Antiqua" w:hAnsi="Book Antiqua" w:cs="Book Antiqua"/>
      <w:lang w:val="en-GB" w:eastAsia="en-GB"/>
    </w:rPr>
  </w:style>
  <w:style w:type="paragraph" w:styleId="BodyText2">
    <w:name w:val="Body Text 2"/>
    <w:basedOn w:val="Normal"/>
    <w:link w:val="BodyText2Char"/>
    <w:uiPriority w:val="99"/>
    <w:rsid w:val="004E456E"/>
    <w:pPr>
      <w:jc w:val="both"/>
    </w:pPr>
    <w:rPr>
      <w:rFonts w:ascii="Arial" w:hAnsi="Arial" w:cs="Arial"/>
    </w:rPr>
  </w:style>
  <w:style w:type="character" w:customStyle="1" w:styleId="BodyText2Char">
    <w:name w:val="Body Text 2 Char"/>
    <w:basedOn w:val="DefaultParagraphFont"/>
    <w:link w:val="BodyText2"/>
    <w:uiPriority w:val="99"/>
    <w:semiHidden/>
    <w:rsid w:val="002F52AA"/>
    <w:rPr>
      <w:rFonts w:ascii="Book Antiqua" w:hAnsi="Book Antiqua" w:cs="Book Antiqua"/>
      <w:lang w:val="en-GB" w:eastAsia="en-GB"/>
    </w:rPr>
  </w:style>
  <w:style w:type="table" w:styleId="TableGrid">
    <w:name w:val="Table Grid"/>
    <w:basedOn w:val="TableNormal"/>
    <w:uiPriority w:val="99"/>
    <w:rsid w:val="00267600"/>
    <w:rPr>
      <w:rFonts w:ascii="Book Antiqu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6DD"/>
    <w:pPr>
      <w:tabs>
        <w:tab w:val="center" w:pos="4320"/>
        <w:tab w:val="right" w:pos="8640"/>
      </w:tabs>
    </w:pPr>
  </w:style>
  <w:style w:type="character" w:customStyle="1" w:styleId="HeaderChar">
    <w:name w:val="Header Char"/>
    <w:basedOn w:val="DefaultParagraphFont"/>
    <w:link w:val="Header"/>
    <w:uiPriority w:val="99"/>
    <w:semiHidden/>
    <w:rsid w:val="002F52AA"/>
    <w:rPr>
      <w:rFonts w:ascii="Book Antiqua" w:hAnsi="Book Antiqua" w:cs="Book Antiqua"/>
      <w:lang w:val="en-GB" w:eastAsia="en-GB"/>
    </w:rPr>
  </w:style>
  <w:style w:type="paragraph" w:styleId="Footer">
    <w:name w:val="footer"/>
    <w:basedOn w:val="Normal"/>
    <w:link w:val="FooterChar"/>
    <w:uiPriority w:val="99"/>
    <w:rsid w:val="001066DD"/>
    <w:pPr>
      <w:tabs>
        <w:tab w:val="center" w:pos="4320"/>
        <w:tab w:val="right" w:pos="8640"/>
      </w:tabs>
    </w:pPr>
  </w:style>
  <w:style w:type="character" w:customStyle="1" w:styleId="FooterChar">
    <w:name w:val="Footer Char"/>
    <w:basedOn w:val="DefaultParagraphFont"/>
    <w:link w:val="Footer"/>
    <w:uiPriority w:val="99"/>
    <w:semiHidden/>
    <w:rsid w:val="002F52AA"/>
    <w:rPr>
      <w:rFonts w:ascii="Book Antiqua" w:hAnsi="Book Antiqua" w:cs="Book Antiqua"/>
      <w:lang w:val="en-GB" w:eastAsia="en-GB"/>
    </w:rPr>
  </w:style>
  <w:style w:type="paragraph" w:styleId="ListParagraph">
    <w:name w:val="List Paragraph"/>
    <w:basedOn w:val="Normal"/>
    <w:uiPriority w:val="99"/>
    <w:qFormat/>
    <w:rsid w:val="005A2BC8"/>
    <w:pPr>
      <w:spacing w:after="200" w:line="276" w:lineRule="auto"/>
      <w:ind w:left="720"/>
    </w:pPr>
    <w:rPr>
      <w:rFonts w:ascii="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6984">
      <w:marLeft w:val="0"/>
      <w:marRight w:val="0"/>
      <w:marTop w:val="0"/>
      <w:marBottom w:val="0"/>
      <w:divBdr>
        <w:top w:val="none" w:sz="0" w:space="0" w:color="auto"/>
        <w:left w:val="none" w:sz="0" w:space="0" w:color="auto"/>
        <w:bottom w:val="none" w:sz="0" w:space="0" w:color="auto"/>
        <w:right w:val="none" w:sz="0" w:space="0" w:color="auto"/>
      </w:divBdr>
    </w:div>
    <w:div w:id="42842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Affin</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MNH</dc:creator>
  <cp:lastModifiedBy>Amelia Lee Chu Yow</cp:lastModifiedBy>
  <cp:revision>2</cp:revision>
  <cp:lastPrinted>2015-02-06T07:17:00Z</cp:lastPrinted>
  <dcterms:created xsi:type="dcterms:W3CDTF">2015-02-26T09:07:00Z</dcterms:created>
  <dcterms:modified xsi:type="dcterms:W3CDTF">2015-02-26T09:07:00Z</dcterms:modified>
</cp:coreProperties>
</file>